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贵州大学博士研究生国家奖学金</w:t>
      </w:r>
    </w:p>
    <w:p>
      <w:pPr>
        <w:keepNext w:val="0"/>
        <w:keepLines w:val="0"/>
        <w:pageBreakBefore w:val="0"/>
        <w:widowControl w:val="0"/>
        <w:kinsoku/>
        <w:wordWrap/>
        <w:overflowPunct/>
        <w:topLinePunct w:val="0"/>
        <w:autoSpaceDE/>
        <w:autoSpaceDN/>
        <w:bidi w:val="0"/>
        <w:adjustRightInd/>
        <w:snapToGrid/>
        <w:spacing w:before="156" w:beforeLines="50"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综合测评实施细则</w:t>
      </w:r>
    </w:p>
    <w:p>
      <w:pPr>
        <w:pStyle w:val="3"/>
        <w:spacing w:line="560" w:lineRule="exact"/>
        <w:jc w:val="both"/>
        <w:rPr>
          <w:rFonts w:hint="eastAsia"/>
          <w:sz w:val="40"/>
          <w:szCs w:val="40"/>
        </w:rPr>
      </w:pPr>
      <w:bookmarkStart w:id="0" w:name="_Toc18741_WPSOffice_Level2"/>
      <w:bookmarkStart w:id="1" w:name="_Toc25530_WPSOffice_Level2"/>
      <w:bookmarkStart w:id="2" w:name="_Toc877_WPSOffice_Level2"/>
    </w:p>
    <w:p>
      <w:pPr>
        <w:pStyle w:val="3"/>
        <w:pageBreakBefore w:val="0"/>
        <w:widowControl w:val="0"/>
        <w:numPr>
          <w:ilvl w:val="0"/>
          <w:numId w:val="0"/>
        </w:numPr>
        <w:kinsoku/>
        <w:wordWrap/>
        <w:overflowPunct/>
        <w:topLinePunct w:val="0"/>
        <w:autoSpaceDE/>
        <w:autoSpaceDN/>
        <w:bidi w:val="0"/>
        <w:adjustRightInd/>
        <w:snapToGrid/>
        <w:spacing w:line="600" w:lineRule="exact"/>
        <w:ind w:firstLine="2891" w:firstLineChars="900"/>
        <w:jc w:val="both"/>
        <w:textAlignment w:val="auto"/>
        <w:rPr>
          <w:rFonts w:hint="eastAsia" w:ascii="黑体" w:hAnsi="黑体" w:eastAsia="黑体" w:cs="仿宋"/>
          <w:b/>
          <w:bCs/>
          <w:kern w:val="2"/>
          <w:sz w:val="32"/>
          <w:szCs w:val="32"/>
          <w:lang w:val="en-US" w:eastAsia="zh-CN" w:bidi="ar-SA"/>
        </w:rPr>
      </w:pPr>
      <w:r>
        <w:rPr>
          <w:rFonts w:hint="eastAsia" w:ascii="黑体" w:hAnsi="黑体" w:eastAsia="黑体" w:cs="仿宋"/>
          <w:b/>
          <w:bCs/>
          <w:kern w:val="2"/>
          <w:sz w:val="32"/>
          <w:szCs w:val="32"/>
          <w:lang w:val="en-US" w:eastAsia="zh-CN" w:bidi="ar-SA"/>
        </w:rPr>
        <w:t>第一章 总 则</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第一条 </w:t>
      </w:r>
      <w:r>
        <w:rPr>
          <w:rFonts w:hint="eastAsia" w:ascii="仿宋" w:hAnsi="仿宋" w:eastAsia="仿宋" w:cs="仿宋"/>
          <w:sz w:val="32"/>
          <w:szCs w:val="32"/>
          <w:lang w:val="en-US" w:eastAsia="zh-CN"/>
        </w:rPr>
        <w:t>博士</w:t>
      </w:r>
      <w:r>
        <w:rPr>
          <w:rFonts w:hint="eastAsia" w:ascii="仿宋" w:hAnsi="仿宋" w:eastAsia="仿宋" w:cs="仿宋"/>
          <w:sz w:val="32"/>
          <w:szCs w:val="32"/>
        </w:rPr>
        <w:t>研究生综合测评是</w:t>
      </w:r>
      <w:r>
        <w:rPr>
          <w:rFonts w:hint="eastAsia" w:ascii="仿宋" w:hAnsi="仿宋" w:eastAsia="仿宋" w:cs="仿宋"/>
          <w:sz w:val="32"/>
          <w:szCs w:val="32"/>
          <w:lang w:val="en-US" w:eastAsia="zh-CN"/>
        </w:rPr>
        <w:t>博士国家</w:t>
      </w:r>
      <w:r>
        <w:rPr>
          <w:rFonts w:hint="eastAsia" w:ascii="仿宋" w:hAnsi="仿宋" w:eastAsia="仿宋" w:cs="仿宋"/>
          <w:sz w:val="32"/>
          <w:szCs w:val="32"/>
        </w:rPr>
        <w:t>奖学金评审的重要依据。根据我校实际特制定《贵州大学</w:t>
      </w:r>
      <w:r>
        <w:rPr>
          <w:rFonts w:hint="eastAsia" w:ascii="仿宋" w:hAnsi="仿宋" w:eastAsia="仿宋" w:cs="仿宋"/>
          <w:sz w:val="32"/>
          <w:szCs w:val="32"/>
          <w:lang w:val="en-US" w:eastAsia="zh-CN"/>
        </w:rPr>
        <w:t>博士</w:t>
      </w:r>
      <w:r>
        <w:rPr>
          <w:rFonts w:hint="eastAsia" w:ascii="仿宋" w:hAnsi="仿宋" w:eastAsia="仿宋" w:cs="仿宋"/>
          <w:sz w:val="32"/>
          <w:szCs w:val="32"/>
        </w:rPr>
        <w:t>研究生</w:t>
      </w:r>
      <w:r>
        <w:rPr>
          <w:rFonts w:hint="eastAsia" w:ascii="仿宋" w:hAnsi="仿宋" w:eastAsia="仿宋" w:cs="仿宋"/>
          <w:sz w:val="32"/>
          <w:szCs w:val="32"/>
          <w:lang w:val="en-US" w:eastAsia="zh-CN"/>
        </w:rPr>
        <w:t>国家奖学金</w:t>
      </w:r>
      <w:r>
        <w:rPr>
          <w:rFonts w:hint="eastAsia" w:ascii="仿宋" w:hAnsi="仿宋" w:eastAsia="仿宋" w:cs="仿宋"/>
          <w:sz w:val="32"/>
          <w:szCs w:val="32"/>
        </w:rPr>
        <w:t>综合测评实施细则》(以下简称《细则》)。</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第二条 </w:t>
      </w:r>
      <w:bookmarkStart w:id="3" w:name="_Toc4510_WPSOffice_Level1"/>
      <w:r>
        <w:rPr>
          <w:rFonts w:hint="eastAsia" w:ascii="仿宋" w:hAnsi="仿宋" w:eastAsia="仿宋" w:cs="仿宋"/>
          <w:sz w:val="32"/>
          <w:szCs w:val="32"/>
          <w:lang w:val="en-US" w:eastAsia="zh-CN"/>
        </w:rPr>
        <w:t>《细则》适用于</w:t>
      </w:r>
      <w:r>
        <w:rPr>
          <w:rFonts w:hint="eastAsia" w:ascii="仿宋" w:hAnsi="仿宋" w:eastAsia="仿宋" w:cs="仿宋"/>
          <w:sz w:val="32"/>
          <w:szCs w:val="32"/>
          <w:highlight w:val="none"/>
          <w:lang w:val="en-US" w:eastAsia="zh-CN"/>
        </w:rPr>
        <w:t>2022级及以后</w:t>
      </w:r>
      <w:r>
        <w:rPr>
          <w:rFonts w:hint="eastAsia" w:ascii="仿宋" w:hAnsi="仿宋" w:eastAsia="仿宋" w:cs="仿宋"/>
          <w:sz w:val="32"/>
          <w:szCs w:val="32"/>
          <w:highlight w:val="none"/>
        </w:rPr>
        <w:t>纳</w:t>
      </w:r>
      <w:r>
        <w:rPr>
          <w:rFonts w:hint="eastAsia" w:ascii="仿宋" w:hAnsi="仿宋" w:eastAsia="仿宋" w:cs="仿宋"/>
          <w:sz w:val="32"/>
          <w:szCs w:val="32"/>
        </w:rPr>
        <w:t>入全国研究生招生计划的全日制脱产学习的</w:t>
      </w:r>
      <w:r>
        <w:rPr>
          <w:rFonts w:hint="eastAsia" w:ascii="仿宋" w:hAnsi="仿宋" w:eastAsia="仿宋" w:cs="仿宋"/>
          <w:i w:val="0"/>
          <w:iCs w:val="0"/>
          <w:color w:val="000000"/>
          <w:kern w:val="0"/>
          <w:sz w:val="32"/>
          <w:szCs w:val="32"/>
          <w:u w:val="none"/>
          <w:lang w:val="en-US" w:eastAsia="zh-CN" w:bidi="ar"/>
        </w:rPr>
        <w:t>博士</w:t>
      </w:r>
      <w:r>
        <w:rPr>
          <w:rFonts w:hint="eastAsia" w:ascii="仿宋" w:hAnsi="仿宋" w:eastAsia="仿宋" w:cs="仿宋"/>
          <w:sz w:val="32"/>
          <w:szCs w:val="32"/>
        </w:rPr>
        <w:t xml:space="preserve">研究生(不包括定向研究生)。全日制脱产学习研究生身份的确定以档案按时转入我校为准。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
          <w:b/>
          <w:bCs/>
          <w:sz w:val="32"/>
          <w:szCs w:val="32"/>
        </w:rPr>
      </w:pPr>
      <w:bookmarkStart w:id="4" w:name="_Toc2257_WPSOffice_Level2"/>
      <w:bookmarkStart w:id="5" w:name="_Toc1919_WPSOffice_Level2"/>
      <w:bookmarkStart w:id="6" w:name="_Toc22194_WPSOffice_Level2"/>
      <w:r>
        <w:rPr>
          <w:rFonts w:hint="eastAsia" w:ascii="黑体" w:hAnsi="黑体" w:eastAsia="黑体" w:cs="仿宋"/>
          <w:b/>
          <w:bCs/>
          <w:sz w:val="32"/>
          <w:szCs w:val="32"/>
        </w:rPr>
        <w:t xml:space="preserve">第二章 </w:t>
      </w:r>
      <w:r>
        <w:rPr>
          <w:rFonts w:hint="eastAsia" w:ascii="黑体" w:hAnsi="黑体" w:eastAsia="黑体" w:cs="仿宋"/>
          <w:b/>
          <w:bCs/>
          <w:sz w:val="32"/>
          <w:szCs w:val="32"/>
          <w:lang w:val="en-US" w:eastAsia="zh-CN"/>
        </w:rPr>
        <w:t>总</w:t>
      </w:r>
      <w:r>
        <w:rPr>
          <w:rFonts w:hint="eastAsia" w:ascii="黑体" w:hAnsi="黑体" w:eastAsia="黑体" w:cs="仿宋"/>
          <w:b/>
          <w:bCs/>
          <w:sz w:val="32"/>
          <w:szCs w:val="32"/>
        </w:rPr>
        <w:t>成绩测评分数</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第三条 </w:t>
      </w:r>
      <w:r>
        <w:rPr>
          <w:rFonts w:hint="eastAsia" w:ascii="仿宋" w:hAnsi="仿宋" w:eastAsia="仿宋" w:cs="仿宋"/>
          <w:sz w:val="32"/>
          <w:szCs w:val="32"/>
          <w:lang w:val="en-US" w:eastAsia="zh-CN"/>
        </w:rPr>
        <w:t>总</w:t>
      </w:r>
      <w:r>
        <w:rPr>
          <w:rFonts w:hint="eastAsia" w:ascii="仿宋" w:hAnsi="仿宋" w:eastAsia="仿宋" w:cs="仿宋"/>
          <w:sz w:val="32"/>
          <w:szCs w:val="32"/>
        </w:rPr>
        <w:t>成绩由</w:t>
      </w:r>
      <w:r>
        <w:rPr>
          <w:rFonts w:hint="eastAsia" w:ascii="仿宋" w:hAnsi="仿宋" w:eastAsia="仿宋" w:cs="仿宋"/>
          <w:sz w:val="32"/>
          <w:szCs w:val="32"/>
          <w:lang w:val="en-US" w:eastAsia="zh-CN"/>
        </w:rPr>
        <w:t>德育分、智育分、体育分、美育分、劳动教育分组成</w:t>
      </w:r>
      <w:r>
        <w:rPr>
          <w:rFonts w:hint="eastAsia" w:ascii="仿宋" w:hAnsi="仿宋" w:eastAsia="仿宋" w:cs="仿宋"/>
          <w:sz w:val="32"/>
          <w:szCs w:val="32"/>
        </w:rPr>
        <w:t>，权重及计算方法如下：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总成绩=0.15*德育分+0.75*智育分+0.05*（体育分+美育分）/2+0.05*劳动教育分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第四条 </w:t>
      </w:r>
      <w:r>
        <w:rPr>
          <w:rFonts w:hint="eastAsia" w:ascii="仿宋" w:hAnsi="仿宋" w:eastAsia="仿宋" w:cs="仿宋"/>
          <w:sz w:val="32"/>
          <w:szCs w:val="32"/>
        </w:rPr>
        <w:t>所有评定项目及</w:t>
      </w:r>
      <w:r>
        <w:rPr>
          <w:rFonts w:hint="eastAsia" w:ascii="仿宋" w:hAnsi="仿宋" w:eastAsia="仿宋" w:cs="仿宋"/>
          <w:sz w:val="32"/>
          <w:szCs w:val="32"/>
          <w:lang w:val="en-US" w:eastAsia="zh-CN"/>
        </w:rPr>
        <w:t>总</w:t>
      </w:r>
      <w:r>
        <w:rPr>
          <w:rFonts w:hint="eastAsia" w:ascii="仿宋" w:hAnsi="仿宋" w:eastAsia="仿宋" w:cs="仿宋"/>
          <w:sz w:val="32"/>
          <w:szCs w:val="32"/>
        </w:rPr>
        <w:t>成绩均以百分制计分，其中德育、体育、美育、劳动教育满分100分，基础分70分。德育分低于60分者，不予参评。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70" w:firstLineChars="800"/>
        <w:jc w:val="both"/>
        <w:textAlignment w:val="auto"/>
        <w:rPr>
          <w:rFonts w:hint="eastAsia" w:ascii="黑体" w:hAnsi="黑体" w:eastAsia="黑体" w:cs="仿宋"/>
          <w:b/>
          <w:bCs/>
          <w:sz w:val="32"/>
          <w:szCs w:val="32"/>
        </w:rPr>
      </w:pPr>
      <w:bookmarkStart w:id="7" w:name="_Toc17324_WPSOffice_Level1"/>
      <w:bookmarkStart w:id="8" w:name="_Toc8898_WPSOffice_Level2"/>
      <w:bookmarkStart w:id="9" w:name="_Toc4357_WPSOffice_Level2"/>
      <w:bookmarkStart w:id="10" w:name="_Toc4734_WPSOffice_Level2"/>
      <w:r>
        <w:rPr>
          <w:rFonts w:hint="eastAsia" w:ascii="黑体" w:hAnsi="黑体" w:eastAsia="黑体" w:cs="仿宋"/>
          <w:b/>
          <w:bCs/>
          <w:sz w:val="32"/>
          <w:szCs w:val="32"/>
          <w:lang w:val="en-US" w:eastAsia="zh-CN"/>
        </w:rPr>
        <w:t>第三章 德育</w:t>
      </w:r>
      <w:r>
        <w:rPr>
          <w:rFonts w:hint="eastAsia" w:ascii="黑体" w:hAnsi="黑体" w:eastAsia="黑体" w:cs="仿宋"/>
          <w:b/>
          <w:bCs/>
          <w:sz w:val="32"/>
          <w:szCs w:val="32"/>
        </w:rPr>
        <w:t>测评分数</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第五条 德育分包括三个部分，</w:t>
      </w:r>
      <w:r>
        <w:rPr>
          <w:rFonts w:hint="eastAsia" w:ascii="仿宋" w:hAnsi="仿宋" w:eastAsia="仿宋" w:cs="仿宋"/>
          <w:sz w:val="32"/>
          <w:szCs w:val="32"/>
        </w:rPr>
        <w:t>即</w:t>
      </w:r>
      <w:r>
        <w:rPr>
          <w:rFonts w:hint="eastAsia" w:ascii="仿宋" w:hAnsi="仿宋" w:eastAsia="仿宋" w:cs="仿宋"/>
          <w:sz w:val="32"/>
          <w:szCs w:val="32"/>
          <w:lang w:val="en-US" w:eastAsia="zh-CN"/>
        </w:rPr>
        <w:t>德育</w:t>
      </w:r>
      <w:r>
        <w:rPr>
          <w:rFonts w:hint="eastAsia" w:ascii="仿宋" w:hAnsi="仿宋" w:eastAsia="仿宋" w:cs="仿宋"/>
          <w:sz w:val="32"/>
          <w:szCs w:val="32"/>
        </w:rPr>
        <w:t>分</w:t>
      </w:r>
      <w:r>
        <w:rPr>
          <w:rFonts w:hint="eastAsia" w:ascii="仿宋" w:hAnsi="仿宋" w:eastAsia="仿宋" w:cs="仿宋"/>
          <w:sz w:val="32"/>
          <w:szCs w:val="32"/>
          <w:lang w:val="en-US" w:eastAsia="zh-CN"/>
        </w:rPr>
        <w:t>=基础分70分+加分项-减分项。其中，加分项满分为30分，在实际评定过程中，若累计分数不超过30分，按实际分数计算；若累计分数超过30分，按如下公示转化成绩：</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 w:eastAsia="仿宋_GB2312" w:cs="仿宋"/>
          <w:sz w:val="32"/>
          <w:szCs w:val="32"/>
          <w:lang w:val="en-US" w:eastAsia="zh-CN"/>
        </w:rPr>
      </w:pPr>
      <m:oMathPara>
        <m:oMath>
          <m:r>
            <m:rPr>
              <m:sty m:val="p"/>
            </m:rPr>
            <w:rPr>
              <w:rFonts w:hint="eastAsia" w:ascii="Cambria Math" w:hAnsi="Cambria Math" w:eastAsia="仿宋" w:cs="仿宋"/>
              <w:sz w:val="28"/>
              <w:szCs w:val="28"/>
              <w:lang w:val="en-US" w:eastAsia="zh-CN"/>
            </w:rPr>
            <m:t>加分项</m:t>
          </m:r>
          <m:r>
            <m:rPr>
              <m:sty m:val="p"/>
            </m:rPr>
            <w:rPr>
              <w:rFonts w:hint="eastAsia" w:ascii="Cambria Math" w:hAnsi="Cambria Math" w:eastAsia="仿宋" w:cs="仿宋"/>
              <w:sz w:val="28"/>
              <w:szCs w:val="28"/>
              <w:lang w:val="en-US"/>
            </w:rPr>
            <m:t>=</m:t>
          </m:r>
          <m:f>
            <m:fPr>
              <m:ctrlPr>
                <w:rPr>
                  <w:rFonts w:hint="eastAsia" w:ascii="Cambria Math" w:hAnsi="Cambria Math" w:eastAsia="仿宋" w:cs="仿宋"/>
                  <w:i w:val="0"/>
                  <w:iCs w:val="0"/>
                  <w:sz w:val="28"/>
                  <w:szCs w:val="28"/>
                  <w:lang w:val="en-US"/>
                </w:rPr>
              </m:ctrlPr>
            </m:fPr>
            <m:num>
              <m:r>
                <m:rPr>
                  <m:sty m:val="p"/>
                </m:rPr>
                <w:rPr>
                  <w:rFonts w:hint="eastAsia" w:ascii="Cambria Math" w:hAnsi="Cambria Math" w:eastAsia="仿宋" w:cs="仿宋"/>
                  <w:sz w:val="28"/>
                  <w:szCs w:val="28"/>
                  <w:lang w:val="en-US" w:eastAsia="zh-CN"/>
                </w:rPr>
                <m:t>参评成绩</m:t>
              </m:r>
              <m:ctrlPr>
                <w:rPr>
                  <w:rFonts w:hint="eastAsia" w:ascii="Cambria Math" w:hAnsi="Cambria Math" w:eastAsia="仿宋" w:cs="仿宋"/>
                  <w:i w:val="0"/>
                  <w:iCs w:val="0"/>
                  <w:sz w:val="28"/>
                  <w:szCs w:val="28"/>
                  <w:lang w:val="en-US"/>
                </w:rPr>
              </m:ctrlPr>
            </m:num>
            <m:den>
              <m:r>
                <m:rPr>
                  <m:sty m:val="p"/>
                </m:rPr>
                <w:rPr>
                  <w:rFonts w:hint="eastAsia" w:ascii="Cambria Math" w:hAnsi="Cambria Math" w:eastAsia="仿宋" w:cs="仿宋"/>
                  <w:sz w:val="28"/>
                  <w:szCs w:val="28"/>
                  <w:lang w:val="en-US" w:eastAsia="zh-CN"/>
                </w:rPr>
                <m:t>参评成绩最大值</m:t>
              </m:r>
              <m:ctrlPr>
                <w:rPr>
                  <w:rFonts w:hint="eastAsia" w:ascii="Cambria Math" w:hAnsi="Cambria Math" w:eastAsia="仿宋" w:cs="仿宋"/>
                  <w:i w:val="0"/>
                  <w:iCs w:val="0"/>
                  <w:sz w:val="28"/>
                  <w:szCs w:val="28"/>
                  <w:lang w:val="en-US"/>
                </w:rPr>
              </m:ctrlPr>
            </m:den>
          </m:f>
          <m:r>
            <m:rPr>
              <m:sty m:val="p"/>
            </m:rPr>
            <w:rPr>
              <w:rFonts w:hint="eastAsia" w:ascii="Cambria Math" w:hAnsi="Cambria Math" w:eastAsia="仿宋" w:cs="仿宋"/>
              <w:sz w:val="28"/>
              <w:szCs w:val="28"/>
              <w:lang w:val="en-US" w:eastAsia="zh-CN"/>
            </w:rPr>
            <m:t>∗30分</m:t>
          </m:r>
        </m:oMath>
      </m:oMathPara>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第六条 德育分加分项主要有三部分组成：</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1.评奖年度获得“优秀党员”“优秀共青团员”“最美大学生”“全国百名研究生党员标兵”“百个研究生样板党支部书记”“三好学生”“优秀研究生干部”等荣誉称号，计分标准如下：</w:t>
      </w:r>
    </w:p>
    <w:tbl>
      <w:tblPr>
        <w:tblStyle w:val="9"/>
        <w:tblpPr w:leftFromText="180" w:rightFromText="180" w:vertAnchor="text" w:horzAnchor="page" w:tblpX="2055" w:tblpY="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15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等级</w:t>
            </w:r>
          </w:p>
        </w:tc>
        <w:tc>
          <w:tcPr>
            <w:tcW w:w="2154"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国家级</w:t>
            </w:r>
          </w:p>
        </w:tc>
        <w:tc>
          <w:tcPr>
            <w:tcW w:w="1704"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省部级</w:t>
            </w:r>
          </w:p>
        </w:tc>
        <w:tc>
          <w:tcPr>
            <w:tcW w:w="1705"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市校级</w:t>
            </w:r>
          </w:p>
        </w:tc>
        <w:tc>
          <w:tcPr>
            <w:tcW w:w="1705" w:type="dxa"/>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2154" w:type="dxa"/>
            <w:vAlign w:val="center"/>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30</w:t>
            </w:r>
          </w:p>
        </w:tc>
        <w:tc>
          <w:tcPr>
            <w:tcW w:w="1704" w:type="dxa"/>
            <w:vAlign w:val="center"/>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20</w:t>
            </w:r>
          </w:p>
        </w:tc>
        <w:tc>
          <w:tcPr>
            <w:tcW w:w="1705" w:type="dxa"/>
            <w:vAlign w:val="center"/>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c>
          <w:tcPr>
            <w:tcW w:w="1705" w:type="dxa"/>
            <w:vAlign w:val="center"/>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备注：获院级各项荣誉的仅计算一次。</w:t>
      </w:r>
    </w:p>
    <w:p>
      <w:pPr>
        <w:numPr>
          <w:ilvl w:val="0"/>
          <w:numId w:val="0"/>
        </w:numPr>
        <w:spacing w:before="156" w:beforeLines="5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2.在见义勇为、拾金不昧、帮助弱残、抢险救灾、抢救伤残等方面有突出事迹，受到表彰或通报表扬或媒体宣传的，且突出事迹的支撑材料为报道材料、奖励证书等。</w:t>
      </w:r>
      <w:bookmarkStart w:id="11" w:name="OLE_LINK1"/>
      <w:r>
        <w:rPr>
          <w:rFonts w:hint="eastAsia" w:ascii="仿宋" w:hAnsi="仿宋" w:eastAsia="仿宋" w:cs="仿宋"/>
          <w:sz w:val="32"/>
          <w:szCs w:val="32"/>
          <w:lang w:val="en-US" w:eastAsia="zh-CN"/>
        </w:rPr>
        <w:t>计</w:t>
      </w:r>
      <w:r>
        <w:rPr>
          <w:rFonts w:hint="eastAsia" w:ascii="仿宋" w:hAnsi="仿宋" w:eastAsia="仿宋" w:cs="仿宋"/>
          <w:sz w:val="32"/>
          <w:szCs w:val="32"/>
          <w:lang w:eastAsia="zh-CN"/>
        </w:rPr>
        <w:t>分</w:t>
      </w:r>
      <w:bookmarkEnd w:id="11"/>
      <w:r>
        <w:rPr>
          <w:rFonts w:hint="eastAsia" w:ascii="仿宋" w:hAnsi="仿宋" w:eastAsia="仿宋" w:cs="仿宋"/>
          <w:sz w:val="32"/>
          <w:szCs w:val="32"/>
          <w:lang w:eastAsia="zh-CN"/>
        </w:rPr>
        <w:t>标准如下：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2190"/>
        <w:gridCol w:w="202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等级</w:t>
            </w:r>
          </w:p>
        </w:tc>
        <w:tc>
          <w:tcPr>
            <w:tcW w:w="2190" w:type="dxa"/>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国家级</w:t>
            </w:r>
          </w:p>
        </w:tc>
        <w:tc>
          <w:tcPr>
            <w:tcW w:w="2025" w:type="dxa"/>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省部级</w:t>
            </w:r>
          </w:p>
        </w:tc>
        <w:tc>
          <w:tcPr>
            <w:tcW w:w="1965" w:type="dxa"/>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highlight w:val="none"/>
                <w:u w:val="none"/>
                <w:lang w:val="en-US" w:eastAsia="zh-CN" w:bidi="ar"/>
              </w:rPr>
            </w:pPr>
            <w:r>
              <w:rPr>
                <w:rFonts w:hint="eastAsia" w:ascii="仿宋" w:hAnsi="仿宋" w:eastAsia="仿宋" w:cs="仿宋"/>
                <w:b/>
                <w:bCs/>
                <w:i w:val="0"/>
                <w:iCs w:val="0"/>
                <w:color w:val="000000"/>
                <w:kern w:val="0"/>
                <w:sz w:val="28"/>
                <w:szCs w:val="28"/>
                <w:highlight w:val="none"/>
                <w:u w:val="none"/>
                <w:lang w:val="en-US" w:eastAsia="zh-CN" w:bidi="ar"/>
              </w:rPr>
              <w:t>市校级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9" w:type="dxa"/>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2190" w:type="dxa"/>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30</w:t>
            </w:r>
          </w:p>
        </w:tc>
        <w:tc>
          <w:tcPr>
            <w:tcW w:w="2025" w:type="dxa"/>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20</w:t>
            </w:r>
          </w:p>
        </w:tc>
        <w:tc>
          <w:tcPr>
            <w:tcW w:w="1965" w:type="dxa"/>
          </w:tcPr>
          <w:p>
            <w:pPr>
              <w:numPr>
                <w:ilvl w:val="0"/>
                <w:numId w:val="0"/>
              </w:numPr>
              <w:spacing w:before="156" w:beforeLines="50" w:line="560" w:lineRule="exact"/>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r>
    </w:tbl>
    <w:p>
      <w:pPr>
        <w:numPr>
          <w:ilvl w:val="0"/>
          <w:numId w:val="0"/>
        </w:numPr>
        <w:spacing w:before="156" w:beforeLines="50"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注：同一事迹多次受到表彰或表扬的，只取最高级别加分，不累计加分。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3.热心社会工作，在评选年度担任研究生干部，积极完成组织安排的各项任务，有较强的工作能力和组织能力，工作成绩突出；在同学中能起到带头模范作用，工作勤恳有效。根据担任职务级别计</w:t>
      </w:r>
      <w:r>
        <w:rPr>
          <w:rFonts w:hint="eastAsia" w:ascii="仿宋" w:hAnsi="仿宋" w:eastAsia="仿宋" w:cs="仿宋"/>
          <w:sz w:val="32"/>
          <w:szCs w:val="32"/>
          <w:lang w:eastAsia="zh-CN"/>
        </w:rPr>
        <w:t>分</w:t>
      </w:r>
      <w:r>
        <w:rPr>
          <w:rFonts w:hint="eastAsia" w:ascii="仿宋" w:hAnsi="仿宋" w:eastAsia="仿宋" w:cs="仿宋"/>
          <w:sz w:val="32"/>
          <w:szCs w:val="32"/>
          <w:lang w:val="en-US" w:eastAsia="zh-CN"/>
        </w:rPr>
        <w:t>标准如下：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9"/>
        <w:gridCol w:w="919"/>
        <w:gridCol w:w="906"/>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9" w:type="dxa"/>
            <w:vAlign w:val="center"/>
          </w:tcPr>
          <w:p>
            <w:pPr>
              <w:keepNext w:val="0"/>
              <w:keepLines w:val="0"/>
              <w:widowControl/>
              <w:suppressLineNumbers w:val="0"/>
              <w:jc w:val="center"/>
              <w:textAlignment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担任职务</w:t>
            </w:r>
          </w:p>
        </w:tc>
        <w:tc>
          <w:tcPr>
            <w:tcW w:w="919" w:type="dxa"/>
            <w:vAlign w:val="center"/>
          </w:tcPr>
          <w:p>
            <w:pPr>
              <w:keepNext w:val="0"/>
              <w:keepLines w:val="0"/>
              <w:widowControl/>
              <w:suppressLineNumbers w:val="0"/>
              <w:jc w:val="center"/>
              <w:textAlignment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优秀</w:t>
            </w:r>
          </w:p>
        </w:tc>
        <w:tc>
          <w:tcPr>
            <w:tcW w:w="906" w:type="dxa"/>
            <w:vAlign w:val="center"/>
          </w:tcPr>
          <w:p>
            <w:pPr>
              <w:keepNext w:val="0"/>
              <w:keepLines w:val="0"/>
              <w:widowControl/>
              <w:suppressLineNumbers w:val="0"/>
              <w:jc w:val="center"/>
              <w:textAlignment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良好</w:t>
            </w:r>
          </w:p>
        </w:tc>
        <w:tc>
          <w:tcPr>
            <w:tcW w:w="1025" w:type="dxa"/>
            <w:vAlign w:val="center"/>
          </w:tcPr>
          <w:p>
            <w:pPr>
              <w:keepNext w:val="0"/>
              <w:keepLines w:val="0"/>
              <w:widowControl/>
              <w:suppressLineNumbers w:val="0"/>
              <w:jc w:val="center"/>
              <w:textAlignment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4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校级学生组织负责人、党总支副书记、团总支副书记</w:t>
            </w:r>
          </w:p>
        </w:tc>
        <w:tc>
          <w:tcPr>
            <w:tcW w:w="9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20</w:t>
            </w:r>
          </w:p>
        </w:tc>
        <w:tc>
          <w:tcPr>
            <w:tcW w:w="90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15</w:t>
            </w:r>
          </w:p>
        </w:tc>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64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校级学生组织主要负责人、党总支其他支委、团总支其他支委、党支部书记、团支部书记</w:t>
            </w:r>
          </w:p>
        </w:tc>
        <w:tc>
          <w:tcPr>
            <w:tcW w:w="9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18</w:t>
            </w:r>
          </w:p>
        </w:tc>
        <w:tc>
          <w:tcPr>
            <w:tcW w:w="90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13</w:t>
            </w:r>
          </w:p>
        </w:tc>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64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校级学生组织部长、副部长、院级学生组织主要负责人、党支部副书记、团支部副书记、楼栋党总支支委</w:t>
            </w:r>
          </w:p>
        </w:tc>
        <w:tc>
          <w:tcPr>
            <w:tcW w:w="9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15</w:t>
            </w:r>
          </w:p>
        </w:tc>
        <w:tc>
          <w:tcPr>
            <w:tcW w:w="90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10</w:t>
            </w:r>
          </w:p>
        </w:tc>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564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校级学生组织干事、院级学生组织部门负责人、党支部其他支委、团支部其他支委、楼层党支部支委</w:t>
            </w:r>
          </w:p>
        </w:tc>
        <w:tc>
          <w:tcPr>
            <w:tcW w:w="91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12</w:t>
            </w:r>
          </w:p>
        </w:tc>
        <w:tc>
          <w:tcPr>
            <w:tcW w:w="90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7</w:t>
            </w:r>
          </w:p>
        </w:tc>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i w:val="0"/>
                <w:iCs w:val="0"/>
                <w:color w:val="000000"/>
                <w:kern w:val="0"/>
                <w:sz w:val="28"/>
                <w:szCs w:val="28"/>
                <w:highlight w:val="none"/>
                <w:u w:val="none"/>
                <w:lang w:val="en-US" w:eastAsia="zh-CN" w:bidi="ar"/>
              </w:rPr>
              <w:t>2</w:t>
            </w:r>
          </w:p>
        </w:tc>
      </w:tr>
    </w:tbl>
    <w:p>
      <w:pPr>
        <w:numPr>
          <w:ilvl w:val="0"/>
          <w:numId w:val="0"/>
        </w:numPr>
        <w:spacing w:before="156" w:beforeLines="50"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注：“担任职务”栏以最高级别计，不重复计分。在校级学生组织担任职务须获得党委研究生工作部认可，成绩由党委研究生工作部评定。在院级担任职务须获得培养单位认可，成绩由培养单位评定。</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left="1050"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第七条 有下列情形的酌情扣分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.受培养单位通报批评者一次扣2分，受学校通报批评者一次扣4分；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.学校、培养单位组织且要求必须参加的活动，无故不参加的，每次扣</w:t>
      </w:r>
      <w:r>
        <w:rPr>
          <w:rFonts w:hint="eastAsia" w:ascii="仿宋" w:hAnsi="仿宋" w:eastAsia="仿宋" w:cs="仿宋"/>
          <w:sz w:val="32"/>
          <w:szCs w:val="32"/>
          <w:lang w:val="en-US" w:eastAsia="zh-CN"/>
        </w:rPr>
        <w:t>3</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.在突发、偶发和公共事件处理过程中，不听从组织安排，造成不良影响的一次扣6分；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.通过网络、微博、微信等渠道发布不实信息，给学校声誉造成</w:t>
      </w:r>
      <w:r>
        <w:rPr>
          <w:rFonts w:hint="eastAsia" w:ascii="仿宋" w:hAnsi="仿宋" w:eastAsia="仿宋" w:cs="仿宋"/>
          <w:sz w:val="32"/>
          <w:szCs w:val="32"/>
          <w:highlight w:val="none"/>
          <w:lang w:val="en-US" w:eastAsia="zh-CN"/>
        </w:rPr>
        <w:t>不良</w:t>
      </w:r>
      <w:r>
        <w:rPr>
          <w:rFonts w:hint="eastAsia" w:ascii="仿宋" w:hAnsi="仿宋" w:eastAsia="仿宋" w:cs="仿宋"/>
          <w:sz w:val="32"/>
          <w:szCs w:val="32"/>
        </w:rPr>
        <w:t>影响的</w:t>
      </w:r>
      <w:r>
        <w:rPr>
          <w:rFonts w:hint="eastAsia" w:ascii="仿宋" w:hAnsi="仿宋" w:eastAsia="仿宋" w:cs="仿宋"/>
          <w:sz w:val="32"/>
          <w:szCs w:val="32"/>
          <w:lang w:val="en-US" w:eastAsia="zh-CN"/>
        </w:rPr>
        <w:t>一次</w:t>
      </w:r>
      <w:r>
        <w:rPr>
          <w:rFonts w:hint="eastAsia" w:ascii="仿宋" w:hAnsi="仿宋" w:eastAsia="仿宋" w:cs="仿宋"/>
          <w:sz w:val="32"/>
          <w:szCs w:val="32"/>
        </w:rPr>
        <w:t>扣10分；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其他经各培养单位公示无异议，报党委研究生工作部（研究生管理</w:t>
      </w:r>
      <w:r>
        <w:rPr>
          <w:rFonts w:hint="eastAsia" w:ascii="仿宋" w:hAnsi="仿宋" w:eastAsia="仿宋" w:cs="仿宋"/>
          <w:sz w:val="32"/>
          <w:szCs w:val="32"/>
          <w:lang w:val="en-US" w:eastAsia="zh-CN"/>
        </w:rPr>
        <w:t>工作</w:t>
      </w:r>
      <w:r>
        <w:rPr>
          <w:rFonts w:hint="eastAsia" w:ascii="仿宋" w:hAnsi="仿宋" w:eastAsia="仿宋" w:cs="仿宋"/>
          <w:sz w:val="32"/>
          <w:szCs w:val="32"/>
        </w:rPr>
        <w:t>处）备案的扣分项目。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因同一事由（件）被扣分者，以最高项记，不同事由（件）造成的扣分要累加。</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b w:val="0"/>
          <w:bCs w:val="0"/>
          <w:kern w:val="2"/>
          <w:sz w:val="32"/>
          <w:szCs w:val="32"/>
          <w:lang w:val="en-US" w:eastAsia="zh-CN" w:bidi="ar-SA"/>
        </w:rPr>
      </w:pPr>
      <w:r>
        <w:rPr>
          <w:rFonts w:hint="eastAsia" w:ascii="黑体" w:hAnsi="黑体" w:eastAsia="黑体" w:cs="仿宋"/>
          <w:b/>
          <w:bCs/>
          <w:sz w:val="32"/>
          <w:szCs w:val="32"/>
        </w:rPr>
        <w:t>第</w:t>
      </w:r>
      <w:r>
        <w:rPr>
          <w:rFonts w:hint="eastAsia" w:ascii="黑体" w:hAnsi="黑体" w:eastAsia="黑体" w:cs="仿宋"/>
          <w:b/>
          <w:bCs/>
          <w:sz w:val="32"/>
          <w:szCs w:val="32"/>
          <w:lang w:val="en-US" w:eastAsia="zh-CN"/>
        </w:rPr>
        <w:t>四</w:t>
      </w:r>
      <w:r>
        <w:rPr>
          <w:rFonts w:hint="eastAsia" w:ascii="黑体" w:hAnsi="黑体" w:eastAsia="黑体" w:cs="仿宋"/>
          <w:b/>
          <w:bCs/>
          <w:sz w:val="32"/>
          <w:szCs w:val="32"/>
        </w:rPr>
        <w:t xml:space="preserve">章 </w:t>
      </w:r>
      <w:r>
        <w:rPr>
          <w:rFonts w:hint="eastAsia" w:ascii="黑体" w:hAnsi="黑体" w:eastAsia="黑体" w:cs="仿宋"/>
          <w:b/>
          <w:bCs/>
          <w:sz w:val="32"/>
          <w:szCs w:val="32"/>
          <w:lang w:val="en-US" w:eastAsia="zh-CN"/>
        </w:rPr>
        <w:t>智育</w:t>
      </w:r>
      <w:r>
        <w:rPr>
          <w:rFonts w:hint="eastAsia" w:ascii="黑体" w:hAnsi="黑体" w:eastAsia="黑体" w:cs="仿宋"/>
          <w:b/>
          <w:bCs/>
          <w:sz w:val="32"/>
          <w:szCs w:val="32"/>
        </w:rPr>
        <w:t>测评分数</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第八条 </w:t>
      </w:r>
      <w:r>
        <w:rPr>
          <w:rFonts w:hint="eastAsia" w:ascii="仿宋" w:hAnsi="仿宋" w:eastAsia="仿宋" w:cs="仿宋"/>
          <w:b w:val="0"/>
          <w:bCs w:val="0"/>
          <w:kern w:val="2"/>
          <w:sz w:val="32"/>
          <w:szCs w:val="32"/>
          <w:lang w:val="en-US" w:eastAsia="zh-CN" w:bidi="ar-SA"/>
        </w:rPr>
        <w:t>智育分包括</w:t>
      </w:r>
      <w:r>
        <w:rPr>
          <w:rFonts w:hint="eastAsia" w:ascii="仿宋" w:hAnsi="仿宋" w:eastAsia="仿宋" w:cs="仿宋"/>
          <w:sz w:val="32"/>
          <w:szCs w:val="32"/>
          <w:lang w:val="en-US" w:eastAsia="zh-CN"/>
        </w:rPr>
        <w:t>课程考核成绩、学术科研分两</w:t>
      </w:r>
      <w:r>
        <w:rPr>
          <w:rFonts w:hint="eastAsia" w:ascii="仿宋" w:hAnsi="仿宋" w:eastAsia="仿宋" w:cs="仿宋"/>
          <w:b w:val="0"/>
          <w:bCs w:val="0"/>
          <w:kern w:val="2"/>
          <w:sz w:val="32"/>
          <w:szCs w:val="32"/>
          <w:lang w:val="en-US" w:eastAsia="zh-CN" w:bidi="ar-SA"/>
        </w:rPr>
        <w:t>个部分，</w:t>
      </w:r>
      <w:r>
        <w:rPr>
          <w:rFonts w:hint="eastAsia" w:ascii="仿宋" w:hAnsi="仿宋" w:eastAsia="仿宋" w:cs="仿宋"/>
          <w:sz w:val="32"/>
          <w:szCs w:val="32"/>
          <w:lang w:val="en-US" w:eastAsia="zh-CN"/>
        </w:rPr>
        <w:t>权重及计算方法如下：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840" w:firstLineChars="300"/>
        <w:jc w:val="left"/>
        <w:textAlignment w:val="auto"/>
        <w:rPr>
          <w:rFonts w:hint="eastAsia" w:ascii="仿宋_GB2312" w:hAnsi="仿宋_GB2312" w:eastAsia="仿宋_GB2312" w:cs="仿宋_GB2312"/>
          <w:b w:val="0"/>
          <w:bCs w:val="0"/>
          <w:kern w:val="2"/>
          <w:sz w:val="72"/>
          <w:szCs w:val="72"/>
          <w:lang w:val="en-US" w:eastAsia="zh-CN" w:bidi="ar-SA"/>
        </w:rPr>
      </w:pPr>
      <w:r>
        <w:rPr>
          <w:rFonts w:hint="eastAsia" w:ascii="仿宋" w:hAnsi="仿宋" w:eastAsia="仿宋" w:cs="仿宋"/>
          <w:i w:val="0"/>
          <w:sz w:val="28"/>
          <w:szCs w:val="32"/>
          <w:lang w:val="en-US" w:eastAsia="zh-CN"/>
        </w:rPr>
        <w:t>智育分</w:t>
      </w:r>
      <w:r>
        <w:rPr>
          <w:rFonts w:hint="eastAsia" w:hAnsi="Cambria Math" w:cs="仿宋"/>
          <w:i w:val="0"/>
          <w:sz w:val="28"/>
          <w:szCs w:val="32"/>
          <w:lang w:val="en-US" w:eastAsia="zh-CN"/>
        </w:rPr>
        <w:t xml:space="preserve"> =</w:t>
      </w:r>
      <w:r>
        <w:rPr>
          <w:rFonts w:hint="eastAsia" w:ascii="仿宋" w:hAnsi="仿宋" w:eastAsia="仿宋" w:cs="仿宋"/>
          <w:b w:val="0"/>
          <w:bCs w:val="0"/>
          <w:kern w:val="2"/>
          <w:sz w:val="72"/>
          <w:szCs w:val="72"/>
          <w:lang w:val="en-US" w:eastAsia="zh-CN" w:bidi="ar-SA"/>
        </w:rPr>
        <w:t>{</w:t>
      </w:r>
      <m:oMath>
        <m:eqArr>
          <m:eqArrPr>
            <m:ctrlPr>
              <w:rPr>
                <w:rFonts w:hint="eastAsia" w:ascii="Cambria Math" w:hAnsi="Cambria Math" w:eastAsia="仿宋" w:cs="仿宋"/>
                <w:i w:val="0"/>
                <w:iCs/>
                <w:sz w:val="28"/>
                <w:szCs w:val="28"/>
              </w:rPr>
            </m:ctrlPr>
          </m:eqArrPr>
          <m:e>
            <m:r>
              <m:rPr>
                <m:sty m:val="p"/>
              </m:rPr>
              <w:rPr>
                <w:rFonts w:hint="eastAsia" w:ascii="Cambria Math" w:hAnsi="Cambria Math" w:eastAsia="仿宋" w:cs="仿宋"/>
                <w:sz w:val="28"/>
                <w:szCs w:val="28"/>
                <w:lang w:val="en-US" w:eastAsia="zh-CN"/>
              </w:rPr>
              <m:t>0.2∗课程考核成绩+0.8∗学术科研分（博一）</m:t>
            </m:r>
            <m:ctrlPr>
              <w:rPr>
                <w:rFonts w:hint="eastAsia" w:ascii="Cambria Math" w:hAnsi="Cambria Math" w:eastAsia="仿宋" w:cs="仿宋"/>
                <w:i w:val="0"/>
                <w:iCs/>
                <w:sz w:val="28"/>
                <w:szCs w:val="28"/>
                <w:lang w:val="en-US" w:eastAsia="zh-CN"/>
              </w:rPr>
            </m:ctrlPr>
          </m:e>
          <m:e>
            <m:r>
              <m:rPr>
                <m:sty m:val="p"/>
              </m:rPr>
              <w:rPr>
                <w:rFonts w:hint="eastAsia" w:ascii="Cambria Math" w:hAnsi="Cambria Math" w:eastAsia="仿宋" w:cs="仿宋"/>
                <w:sz w:val="28"/>
                <w:szCs w:val="28"/>
                <w:lang w:val="en-US" w:eastAsia="zh-CN"/>
              </w:rPr>
              <m:t>学术科研分（博二、</m:t>
            </m:r>
            <m:r>
              <m:rPr>
                <m:sty m:val="p"/>
              </m:rPr>
              <w:rPr>
                <w:rFonts w:hint="eastAsia" w:ascii="Cambria Math" w:hAnsi="Cambria Math" w:eastAsia="仿宋" w:cs="仿宋"/>
                <w:sz w:val="28"/>
                <w:szCs w:val="28"/>
                <w:highlight w:val="none"/>
                <w:lang w:val="en-US" w:eastAsia="zh-CN"/>
              </w:rPr>
              <m:t>博三</m:t>
            </m:r>
            <m:r>
              <m:rPr>
                <m:sty m:val="p"/>
              </m:rPr>
              <w:rPr>
                <w:rFonts w:hint="eastAsia" w:ascii="Cambria Math" w:hAnsi="Cambria Math" w:eastAsia="仿宋" w:cs="仿宋"/>
                <w:sz w:val="28"/>
                <w:szCs w:val="28"/>
                <w:lang w:val="en-US" w:eastAsia="zh-CN"/>
              </w:rPr>
              <m:t>）</m:t>
            </m:r>
            <m:ctrlPr>
              <w:rPr>
                <w:rFonts w:hint="eastAsia" w:ascii="Cambria Math" w:hAnsi="Cambria Math" w:eastAsia="仿宋" w:cs="仿宋"/>
                <w:i w:val="0"/>
                <w:iCs/>
                <w:sz w:val="28"/>
                <w:szCs w:val="28"/>
              </w:rPr>
            </m:ctrlPr>
          </m:e>
          <m:e>
            <m:ctrlPr>
              <w:rPr>
                <w:rFonts w:hint="eastAsia" w:ascii="Cambria Math" w:hAnsi="Cambria Math" w:eastAsia="仿宋" w:cs="仿宋"/>
                <w:i w:val="0"/>
                <w:iCs/>
                <w:sz w:val="28"/>
                <w:szCs w:val="28"/>
              </w:rPr>
            </m:ctrlPr>
          </m:e>
        </m:eqArr>
      </m:oMath>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第九条 </w:t>
      </w:r>
      <w:r>
        <w:rPr>
          <w:rFonts w:hint="eastAsia" w:ascii="仿宋" w:hAnsi="仿宋" w:eastAsia="仿宋" w:cs="仿宋"/>
          <w:sz w:val="32"/>
          <w:szCs w:val="32"/>
          <w:highlight w:val="none"/>
        </w:rPr>
        <w:t>课程考核</w:t>
      </w:r>
      <w:r>
        <w:rPr>
          <w:rFonts w:hint="eastAsia" w:ascii="仿宋" w:hAnsi="仿宋" w:eastAsia="仿宋" w:cs="仿宋"/>
          <w:sz w:val="32"/>
          <w:szCs w:val="32"/>
          <w:highlight w:val="none"/>
          <w:lang w:val="en-US" w:eastAsia="zh-CN"/>
        </w:rPr>
        <w:t>成绩计分标准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课程考核成绩</w:t>
      </w:r>
      <w:r>
        <w:rPr>
          <w:rFonts w:hint="eastAsia" w:ascii="仿宋" w:hAnsi="仿宋" w:eastAsia="仿宋" w:cs="仿宋"/>
          <w:sz w:val="32"/>
          <w:szCs w:val="32"/>
          <w:highlight w:val="none"/>
        </w:rPr>
        <w:t>由研究生培养方案中学位课和非学位课程成绩组成，权重及计算方法如下：</w:t>
      </w:r>
    </w:p>
    <w:p>
      <w:pPr>
        <w:spacing w:line="960" w:lineRule="auto"/>
        <w:ind w:firstLine="480" w:firstLineChars="200"/>
        <w:jc w:val="center"/>
        <w:rPr>
          <w:rFonts w:hint="eastAsia" w:ascii="仿宋" w:hAnsi="仿宋" w:eastAsia="仿宋" w:cs="仿宋"/>
          <w:position w:val="-32"/>
          <w:sz w:val="24"/>
        </w:rPr>
      </w:pPr>
      <w:r>
        <w:rPr>
          <w:rFonts w:hint="eastAsia" w:ascii="仿宋" w:hAnsi="仿宋" w:eastAsia="仿宋" w:cs="仿宋"/>
          <w:position w:val="-32"/>
          <w:sz w:val="24"/>
        </w:rPr>
        <w:object>
          <v:shape id="_x0000_i1025" o:spt="75" type="#_x0000_t75" style="height:41.75pt;width:155.8pt;" o:ole="t" filled="f" o:preferrelative="t" stroked="f" coordsize="21600,21600">
            <v:path/>
            <v:fill on="f" focussize="0,0"/>
            <v:stroke on="f"/>
            <v:imagedata r:id="rId6" o:title=""/>
            <o:lock v:ext="edit" aspectratio="f"/>
            <w10:wrap type="none"/>
            <w10:anchorlock/>
          </v:shape>
          <o:OLEObject Type="Embed" ProgID="Equation.DSMT4" ShapeID="_x0000_i1025" DrawAspect="Content" ObjectID="_1468075725" r:id="rId5">
            <o:LockedField>false</o:LockedField>
          </o:OLEObject>
        </w:objec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其中，B为课程考核</w:t>
      </w:r>
      <w:r>
        <w:rPr>
          <w:rFonts w:hint="eastAsia" w:ascii="仿宋" w:hAnsi="仿宋" w:eastAsia="仿宋" w:cs="仿宋"/>
          <w:sz w:val="32"/>
          <w:szCs w:val="32"/>
          <w:highlight w:val="none"/>
          <w:lang w:val="en-US" w:eastAsia="zh-CN"/>
        </w:rPr>
        <w:t>成绩</w:t>
      </w:r>
      <w:r>
        <w:rPr>
          <w:rFonts w:hint="eastAsia" w:ascii="仿宋" w:hAnsi="仿宋" w:eastAsia="仿宋" w:cs="仿宋"/>
          <w:sz w:val="32"/>
          <w:szCs w:val="32"/>
          <w:highlight w:val="none"/>
        </w:rPr>
        <w:t>，S1为学位课（含必修课）成绩，N1为对应的课程学分，S2为</w:t>
      </w:r>
      <w:r>
        <w:rPr>
          <w:rFonts w:hint="eastAsia" w:ascii="仿宋" w:hAnsi="仿宋" w:eastAsia="仿宋" w:cs="仿宋"/>
          <w:sz w:val="32"/>
          <w:szCs w:val="32"/>
          <w:highlight w:val="none"/>
          <w:lang w:val="en-US" w:eastAsia="zh-CN"/>
        </w:rPr>
        <w:t>非</w:t>
      </w:r>
      <w:r>
        <w:rPr>
          <w:rFonts w:hint="eastAsia" w:ascii="仿宋" w:hAnsi="仿宋" w:eastAsia="仿宋" w:cs="仿宋"/>
          <w:sz w:val="32"/>
          <w:szCs w:val="32"/>
          <w:highlight w:val="none"/>
        </w:rPr>
        <w:t>学位课成绩，N2为对应的课程学分。成绩按百分制计算。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第十条  学术科研</w:t>
      </w:r>
      <w:r>
        <w:rPr>
          <w:rFonts w:hint="eastAsia" w:ascii="仿宋" w:hAnsi="仿宋" w:eastAsia="仿宋" w:cs="仿宋"/>
          <w:sz w:val="32"/>
          <w:szCs w:val="32"/>
          <w:highlight w:val="none"/>
        </w:rPr>
        <w:t>成果</w:t>
      </w:r>
      <w:r>
        <w:rPr>
          <w:rFonts w:hint="eastAsia" w:ascii="仿宋" w:hAnsi="仿宋" w:eastAsia="仿宋" w:cs="仿宋"/>
          <w:sz w:val="32"/>
          <w:szCs w:val="32"/>
          <w:highlight w:val="none"/>
          <w:lang w:val="en-US" w:eastAsia="zh-CN"/>
        </w:rPr>
        <w:t>要求及计分标准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1.学术科研</w:t>
      </w:r>
      <w:r>
        <w:rPr>
          <w:rFonts w:hint="eastAsia" w:ascii="仿宋" w:hAnsi="仿宋" w:eastAsia="仿宋" w:cs="仿宋"/>
          <w:sz w:val="32"/>
          <w:szCs w:val="32"/>
          <w:highlight w:val="none"/>
        </w:rPr>
        <w:t>成果</w:t>
      </w:r>
      <w:r>
        <w:rPr>
          <w:rFonts w:hint="eastAsia" w:ascii="仿宋" w:hAnsi="仿宋" w:eastAsia="仿宋" w:cs="仿宋"/>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所有成果第一完成单位须为贵州大学，</w:t>
      </w:r>
      <w:r>
        <w:rPr>
          <w:rFonts w:hint="eastAsia" w:ascii="仿宋" w:hAnsi="仿宋" w:eastAsia="仿宋" w:cs="仿宋"/>
          <w:sz w:val="32"/>
          <w:szCs w:val="32"/>
          <w:lang w:val="en-US" w:eastAsia="zh-CN"/>
        </w:rPr>
        <w:t>人文社科类学科，导师一作学生二作视同学生第一作者；自然科学类学科，学生须为一作</w:t>
      </w:r>
      <w:r>
        <w:rPr>
          <w:rFonts w:hint="eastAsia" w:ascii="仿宋" w:hAnsi="仿宋" w:eastAsia="仿宋" w:cs="仿宋"/>
          <w:sz w:val="32"/>
          <w:szCs w:val="32"/>
          <w:highlight w:val="none"/>
          <w:lang w:val="en-US" w:eastAsia="zh-CN"/>
        </w:rPr>
        <w:t>或导师一作学生为唯一通讯作者</w:t>
      </w:r>
      <w:r>
        <w:rPr>
          <w:rFonts w:hint="eastAsia" w:ascii="仿宋" w:hAnsi="仿宋" w:eastAsia="仿宋" w:cs="仿宋"/>
          <w:sz w:val="32"/>
          <w:szCs w:val="32"/>
          <w:lang w:val="en-US" w:eastAsia="zh-CN"/>
        </w:rPr>
        <w:t>；作者第一单位均须为贵州大学。除</w:t>
      </w:r>
      <w:r>
        <w:rPr>
          <w:rFonts w:hint="eastAsia" w:ascii="仿宋" w:hAnsi="仿宋" w:eastAsia="仿宋" w:cs="仿宋"/>
          <w:i/>
          <w:iCs/>
          <w:sz w:val="32"/>
          <w:szCs w:val="32"/>
          <w:lang w:val="en-US" w:eastAsia="zh-CN"/>
        </w:rPr>
        <w:t>Cell、 Nature、 Science</w:t>
      </w:r>
      <w:r>
        <w:rPr>
          <w:rFonts w:hint="eastAsia" w:ascii="仿宋" w:hAnsi="仿宋" w:eastAsia="仿宋" w:cs="仿宋"/>
          <w:sz w:val="32"/>
          <w:szCs w:val="32"/>
          <w:highlight w:val="none"/>
          <w:lang w:val="en-US" w:eastAsia="zh-CN"/>
        </w:rPr>
        <w:t>（简称“CNS”）</w:t>
      </w:r>
      <w:r>
        <w:rPr>
          <w:rFonts w:hint="eastAsia" w:ascii="仿宋" w:hAnsi="仿宋" w:eastAsia="仿宋" w:cs="仿宋"/>
          <w:sz w:val="32"/>
          <w:szCs w:val="32"/>
          <w:lang w:val="en-US" w:eastAsia="zh-CN"/>
        </w:rPr>
        <w:t>外，不认可排名不是第一的共同第一作者。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成果须是</w:t>
      </w:r>
      <w:r>
        <w:rPr>
          <w:rFonts w:hint="eastAsia" w:ascii="仿宋" w:hAnsi="仿宋" w:eastAsia="仿宋" w:cs="仿宋"/>
          <w:sz w:val="32"/>
          <w:szCs w:val="32"/>
          <w:highlight w:val="none"/>
          <w:lang w:val="en-US" w:eastAsia="zh-CN"/>
        </w:rPr>
        <w:t>国家</w:t>
      </w:r>
      <w:r>
        <w:rPr>
          <w:rFonts w:hint="eastAsia" w:ascii="仿宋" w:hAnsi="仿宋" w:eastAsia="仿宋" w:cs="仿宋"/>
          <w:sz w:val="32"/>
          <w:szCs w:val="32"/>
          <w:highlight w:val="none"/>
        </w:rPr>
        <w:t>奖学金评定时间范围内完成</w:t>
      </w:r>
      <w:r>
        <w:rPr>
          <w:rFonts w:hint="eastAsia" w:ascii="仿宋" w:hAnsi="仿宋" w:eastAsia="仿宋" w:cs="仿宋"/>
          <w:sz w:val="32"/>
          <w:szCs w:val="32"/>
          <w:highlight w:val="none"/>
          <w:lang w:eastAsia="zh-CN"/>
        </w:rPr>
        <w:t>，</w:t>
      </w:r>
      <w:r>
        <w:rPr>
          <w:rFonts w:hint="eastAsia" w:ascii="仿宋" w:hAnsi="仿宋" w:eastAsia="仿宋" w:cs="仿宋"/>
          <w:sz w:val="32"/>
          <w:szCs w:val="32"/>
        </w:rPr>
        <w:t>所发表的期刊以正式出版的时间为准，既能在中国知网、Ei Compendex工程索引、“Web of Science（SCIE）数据库等指定的网站检索到，又必须在规定的时间出版。</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所有成果在各类奖学金评定中不能重复使用。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rPr>
        <w:t>中文期刊类型认定方法</w:t>
      </w:r>
      <w:r>
        <w:rPr>
          <w:rFonts w:hint="eastAsia" w:ascii="仿宋" w:hAnsi="仿宋" w:eastAsia="仿宋" w:cs="仿宋"/>
          <w:sz w:val="32"/>
          <w:szCs w:val="32"/>
          <w:lang w:eastAsia="zh-CN"/>
        </w:rPr>
        <w:t>，</w:t>
      </w:r>
      <w:r>
        <w:rPr>
          <w:rFonts w:hint="eastAsia" w:ascii="仿宋" w:hAnsi="仿宋" w:eastAsia="仿宋" w:cs="仿宋"/>
          <w:sz w:val="32"/>
          <w:szCs w:val="32"/>
        </w:rPr>
        <w:t>请参评</w:t>
      </w:r>
      <w:r>
        <w:rPr>
          <w:rFonts w:hint="eastAsia" w:ascii="仿宋" w:hAnsi="仿宋" w:eastAsia="仿宋" w:cs="仿宋"/>
          <w:sz w:val="32"/>
          <w:szCs w:val="32"/>
          <w:lang w:val="en-US" w:eastAsia="zh-CN"/>
        </w:rPr>
        <w:t>博士</w:t>
      </w:r>
      <w:r>
        <w:rPr>
          <w:rFonts w:hint="eastAsia" w:ascii="仿宋" w:hAnsi="仿宋" w:eastAsia="仿宋" w:cs="仿宋"/>
          <w:sz w:val="32"/>
          <w:szCs w:val="32"/>
        </w:rPr>
        <w:t>研究生自行打印本人论文在“中国知网”上的期刊信息，由培养单位审核并加盖公章。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外文期刊类型认定方法</w:t>
      </w:r>
      <w:r>
        <w:rPr>
          <w:rFonts w:hint="eastAsia" w:ascii="仿宋" w:hAnsi="仿宋" w:eastAsia="仿宋" w:cs="仿宋"/>
          <w:sz w:val="32"/>
          <w:szCs w:val="32"/>
          <w:lang w:eastAsia="zh-CN"/>
        </w:rPr>
        <w:t>，</w:t>
      </w:r>
      <w:r>
        <w:rPr>
          <w:rFonts w:hint="eastAsia" w:ascii="仿宋" w:hAnsi="仿宋" w:eastAsia="仿宋" w:cs="仿宋"/>
          <w:sz w:val="32"/>
          <w:szCs w:val="32"/>
        </w:rPr>
        <w:t>请参评研究生自行在校图书馆电子资源库“Ei Compendex工程索引”或“Web of Science（SCIE）数据库”中，检索出本次评定所用文章，明确标识研究生本人为第一作者（如为唯一通讯作者则第一作者应为该生导师）且贵州大学为第一作者单位，打印由培养单位审核并加盖公章。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2.学术科研</w:t>
      </w:r>
      <w:r>
        <w:rPr>
          <w:rFonts w:hint="eastAsia" w:ascii="仿宋" w:hAnsi="仿宋" w:eastAsia="仿宋" w:cs="仿宋"/>
          <w:sz w:val="32"/>
          <w:szCs w:val="32"/>
          <w:highlight w:val="none"/>
        </w:rPr>
        <w:t>成果</w:t>
      </w:r>
      <w:r>
        <w:rPr>
          <w:rFonts w:hint="eastAsia" w:ascii="仿宋" w:hAnsi="仿宋" w:eastAsia="仿宋" w:cs="仿宋"/>
          <w:sz w:val="32"/>
          <w:szCs w:val="32"/>
          <w:highlight w:val="none"/>
          <w:lang w:val="en-US" w:eastAsia="zh-CN"/>
        </w:rPr>
        <w:t>计分标准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 xml:space="preserve">   学术科研成果包括学术论文、科研项目和专利、学科竞赛、学术交流四个部分，</w:t>
      </w:r>
      <w:r>
        <w:rPr>
          <w:rFonts w:hint="eastAsia" w:ascii="仿宋" w:hAnsi="仿宋" w:eastAsia="仿宋" w:cs="仿宋"/>
          <w:sz w:val="32"/>
          <w:szCs w:val="32"/>
          <w:lang w:val="en-US" w:eastAsia="zh-CN"/>
        </w:rPr>
        <w:t>计</w:t>
      </w:r>
      <w:r>
        <w:rPr>
          <w:rFonts w:hint="eastAsia" w:ascii="仿宋" w:hAnsi="仿宋" w:eastAsia="仿宋" w:cs="仿宋"/>
          <w:sz w:val="32"/>
          <w:szCs w:val="32"/>
          <w:lang w:eastAsia="zh-CN"/>
        </w:rPr>
        <w:t>分标准如下：</w:t>
      </w:r>
    </w:p>
    <w:p>
      <w:pPr>
        <w:numPr>
          <w:ilvl w:val="0"/>
          <w:numId w:val="1"/>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学术论文</w:t>
      </w:r>
    </w:p>
    <w:tbl>
      <w:tblPr>
        <w:tblStyle w:val="8"/>
        <w:tblW w:w="90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1"/>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发表论文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IF≥10的</w:t>
            </w:r>
            <w:r>
              <w:rPr>
                <w:rFonts w:hint="eastAsia" w:ascii="仿宋" w:hAnsi="仿宋" w:eastAsia="仿宋" w:cs="仿宋"/>
                <w:i/>
                <w:iCs/>
                <w:color w:val="000000"/>
                <w:kern w:val="0"/>
                <w:sz w:val="28"/>
                <w:szCs w:val="28"/>
                <w:highlight w:val="none"/>
                <w:u w:val="none"/>
                <w:lang w:val="en-US" w:eastAsia="zh-CN" w:bidi="ar"/>
              </w:rPr>
              <w:t>Cell、Nature、Science</w:t>
            </w:r>
            <w:r>
              <w:rPr>
                <w:rFonts w:hint="eastAsia" w:ascii="仿宋" w:hAnsi="仿宋" w:eastAsia="仿宋" w:cs="仿宋"/>
                <w:i w:val="0"/>
                <w:iCs w:val="0"/>
                <w:color w:val="000000"/>
                <w:kern w:val="0"/>
                <w:sz w:val="28"/>
                <w:szCs w:val="28"/>
                <w:highlight w:val="none"/>
                <w:u w:val="none"/>
                <w:lang w:val="en-US" w:eastAsia="zh-CN" w:bidi="ar"/>
              </w:rPr>
              <w:t>三大刊子刊，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IF≥10的自然指数期刊，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《中国社会科学》《求是》《经济研究》《历史研究》《管理世界》《中国法学》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iCs/>
                <w:color w:val="000000"/>
                <w:kern w:val="0"/>
                <w:sz w:val="28"/>
                <w:szCs w:val="28"/>
                <w:highlight w:val="none"/>
                <w:u w:val="none"/>
                <w:lang w:val="en-US" w:eastAsia="zh-CN" w:bidi="ar"/>
              </w:rPr>
              <w:t>Cell、Nature、Science</w:t>
            </w:r>
            <w:r>
              <w:rPr>
                <w:rFonts w:hint="eastAsia" w:ascii="仿宋" w:hAnsi="仿宋" w:eastAsia="仿宋" w:cs="仿宋"/>
                <w:i w:val="0"/>
                <w:iCs w:val="0"/>
                <w:color w:val="000000"/>
                <w:kern w:val="0"/>
                <w:sz w:val="28"/>
                <w:szCs w:val="28"/>
                <w:highlight w:val="none"/>
                <w:u w:val="none"/>
                <w:lang w:val="en-US" w:eastAsia="zh-CN" w:bidi="ar"/>
              </w:rPr>
              <w:t>子刊，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8≤IF&lt;10的自然指数期刊，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SCI一区且IF≥10期刊，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人文社科一级学报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IF≥10期刊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6≤IF&lt;8的自然指数期刊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IF&lt;6的自然指数期刊，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SCI、SSCI一区期刊，领军期刊，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CSSCI来源期刊（不含集刊、扩展版），</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《人民日报》《光明日报》《经济日报》理论文章（1500字以上）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SCI、SSCI二区期刊，重点期刊，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《人民日报》《光明日报》《经济日报》理论文章（1500字以下）</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SCI、SSCI三区、四区期刊分，梯队期刊</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6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一本或多本专著（3万字以上），仅计分一次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bl>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备注：1.自然科学类期刊分区参考当年中科院SCI期刊大类分区；</w:t>
      </w:r>
    </w:p>
    <w:p>
      <w:pPr>
        <w:numPr>
          <w:ilvl w:val="0"/>
          <w:numId w:val="0"/>
        </w:numPr>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2.人文社科类期刊分区参照校人文社科处学术期刊分类及校研究生院制定的权威期刊；</w:t>
      </w:r>
    </w:p>
    <w:p>
      <w:pPr>
        <w:numPr>
          <w:ilvl w:val="0"/>
          <w:numId w:val="0"/>
        </w:num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3.领军期刊、重点期刊、梯队期刊是指《中国科技期刊卓越行动计划》入选期刊；</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4.同一期刊存在多种类型取分值高者；</w:t>
      </w:r>
    </w:p>
    <w:p>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5.专著要是国内重点出版社或国外知名出版社出版，在版权页写明“著”，不能是“编”或“编著”。在作者介绍中须明确贵州大学。  </w:t>
      </w:r>
    </w:p>
    <w:p>
      <w:p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 被SCI和SSCI共同收录的期刊，按SCI的分区认定。 </w:t>
      </w:r>
    </w:p>
    <w:p>
      <w:pPr>
        <w:spacing w:line="560" w:lineRule="exact"/>
        <w:ind w:firstLine="560" w:firstLineChars="200"/>
        <w:rPr>
          <w:rFonts w:hint="eastAsia" w:ascii="仿宋" w:hAnsi="仿宋" w:eastAsia="仿宋" w:cs="仿宋"/>
          <w:sz w:val="32"/>
          <w:szCs w:val="32"/>
          <w:lang w:val="en-US" w:eastAsia="zh-CN"/>
        </w:rPr>
      </w:pPr>
      <w:r>
        <w:rPr>
          <w:rFonts w:hint="eastAsia" w:ascii="仿宋" w:hAnsi="仿宋" w:eastAsia="仿宋" w:cs="仿宋"/>
          <w:sz w:val="28"/>
          <w:szCs w:val="28"/>
          <w:highlight w:val="none"/>
          <w:lang w:val="en-US" w:eastAsia="zh-CN"/>
        </w:rPr>
        <w:t xml:space="preserve">7.中科院《国际期刊预警名单（试行）》名单期刊、三大出版社（Frontiers、MDPI和Hindawi）期刊上发表的论文不予计分。    </w:t>
      </w:r>
      <w:r>
        <w:rPr>
          <w:rFonts w:hint="eastAsia" w:ascii="仿宋" w:hAnsi="仿宋" w:eastAsia="仿宋" w:cs="仿宋"/>
          <w:sz w:val="28"/>
          <w:szCs w:val="28"/>
          <w:lang w:val="en-US" w:eastAsia="zh-CN"/>
        </w:rPr>
        <w:t xml:space="preserve">           </w:t>
      </w:r>
      <w:r>
        <w:rPr>
          <w:rFonts w:hint="eastAsia" w:ascii="仿宋" w:hAnsi="仿宋" w:eastAsia="仿宋" w:cs="仿宋"/>
          <w:sz w:val="32"/>
          <w:szCs w:val="32"/>
          <w:lang w:val="en-US" w:eastAsia="zh-CN"/>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科研项目</w:t>
      </w:r>
      <w:r>
        <w:rPr>
          <w:rFonts w:hint="eastAsia" w:ascii="仿宋" w:hAnsi="仿宋" w:eastAsia="仿宋" w:cs="仿宋"/>
          <w:sz w:val="32"/>
          <w:szCs w:val="32"/>
          <w:lang w:val="en-US" w:eastAsia="zh-CN"/>
        </w:rPr>
        <w:t>和</w:t>
      </w:r>
      <w:r>
        <w:rPr>
          <w:rFonts w:hint="eastAsia" w:ascii="仿宋" w:hAnsi="仿宋" w:eastAsia="仿宋" w:cs="仿宋"/>
          <w:sz w:val="32"/>
          <w:szCs w:val="32"/>
        </w:rPr>
        <w:t>专利</w:t>
      </w:r>
    </w:p>
    <w:tbl>
      <w:tblPr>
        <w:tblStyle w:val="8"/>
        <w:tblW w:w="9510" w:type="dxa"/>
        <w:tblInd w:w="-513" w:type="dxa"/>
        <w:tblLayout w:type="fixed"/>
        <w:tblCellMar>
          <w:top w:w="15" w:type="dxa"/>
          <w:left w:w="15" w:type="dxa"/>
          <w:bottom w:w="15" w:type="dxa"/>
          <w:right w:w="15" w:type="dxa"/>
        </w:tblCellMar>
      </w:tblPr>
      <w:tblGrid>
        <w:gridCol w:w="8145"/>
        <w:gridCol w:w="1365"/>
      </w:tblGrid>
      <w:tr>
        <w:tblPrEx>
          <w:tblCellMar>
            <w:top w:w="15" w:type="dxa"/>
            <w:left w:w="15" w:type="dxa"/>
            <w:bottom w:w="15" w:type="dxa"/>
            <w:right w:w="15" w:type="dxa"/>
          </w:tblCellMar>
        </w:tblPrEx>
        <w:trPr>
          <w:trHeight w:val="569"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专利和科研项目</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分值</w:t>
            </w:r>
          </w:p>
        </w:tc>
      </w:tr>
      <w:tr>
        <w:tblPrEx>
          <w:tblCellMar>
            <w:top w:w="15" w:type="dxa"/>
            <w:left w:w="15" w:type="dxa"/>
            <w:bottom w:w="15" w:type="dxa"/>
            <w:right w:w="15" w:type="dxa"/>
          </w:tblCellMar>
        </w:tblPrEx>
        <w:trPr>
          <w:trHeight w:val="390"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bidi="ar"/>
              </w:rPr>
              <w:t>主持国家自科基金面上项目或国家社科基金一般项目</w:t>
            </w:r>
            <w:r>
              <w:rPr>
                <w:rFonts w:hint="eastAsia" w:ascii="仿宋" w:hAnsi="仿宋" w:eastAsia="仿宋" w:cs="仿宋"/>
                <w:color w:val="000000"/>
                <w:kern w:val="0"/>
                <w:sz w:val="28"/>
                <w:szCs w:val="28"/>
                <w:lang w:eastAsia="zh-CN" w:bidi="ar"/>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highlight w:val="none"/>
                <w:lang w:val="en-US" w:eastAsia="zh-CN" w:bidi="ar"/>
              </w:rPr>
              <w:t>专利进行成果转化且到学校账户金额500万元（含）及以上</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240</w:t>
            </w:r>
          </w:p>
        </w:tc>
      </w:tr>
      <w:tr>
        <w:tblPrEx>
          <w:tblCellMar>
            <w:top w:w="15" w:type="dxa"/>
            <w:left w:w="15" w:type="dxa"/>
            <w:bottom w:w="15" w:type="dxa"/>
            <w:right w:w="15" w:type="dxa"/>
          </w:tblCellMar>
        </w:tblPrEx>
        <w:trPr>
          <w:trHeight w:val="464"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highlight w:val="none"/>
                <w:lang w:eastAsia="zh-CN" w:bidi="ar"/>
              </w:rPr>
            </w:pPr>
            <w:r>
              <w:rPr>
                <w:rFonts w:hint="eastAsia" w:ascii="仿宋" w:hAnsi="仿宋" w:eastAsia="仿宋" w:cs="仿宋"/>
                <w:color w:val="000000"/>
                <w:kern w:val="0"/>
                <w:sz w:val="28"/>
                <w:szCs w:val="28"/>
                <w:highlight w:val="none"/>
                <w:lang w:bidi="ar"/>
              </w:rPr>
              <w:t>主持国家自科基金地区项目/青年基金项目，</w:t>
            </w:r>
            <w:r>
              <w:rPr>
                <w:rFonts w:hint="eastAsia" w:ascii="仿宋" w:hAnsi="仿宋" w:eastAsia="仿宋" w:cs="仿宋"/>
                <w:color w:val="000000"/>
                <w:kern w:val="0"/>
                <w:sz w:val="28"/>
                <w:szCs w:val="28"/>
                <w:highlight w:val="none"/>
                <w:lang w:val="en-US" w:eastAsia="zh-CN" w:bidi="ar"/>
              </w:rPr>
              <w:t>主持</w:t>
            </w:r>
            <w:r>
              <w:rPr>
                <w:rFonts w:hint="eastAsia" w:ascii="仿宋" w:hAnsi="仿宋" w:eastAsia="仿宋" w:cs="仿宋"/>
                <w:color w:val="000000"/>
                <w:kern w:val="0"/>
                <w:sz w:val="28"/>
                <w:szCs w:val="28"/>
                <w:highlight w:val="none"/>
                <w:lang w:bidi="ar"/>
              </w:rPr>
              <w:t>国家社科基金西部项目/青年项目</w:t>
            </w:r>
            <w:r>
              <w:rPr>
                <w:rFonts w:hint="eastAsia" w:ascii="仿宋" w:hAnsi="仿宋" w:eastAsia="仿宋" w:cs="仿宋"/>
                <w:color w:val="000000"/>
                <w:kern w:val="0"/>
                <w:sz w:val="28"/>
                <w:szCs w:val="28"/>
                <w:highlight w:val="none"/>
                <w:lang w:eastAsia="zh-CN" w:bidi="ar"/>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专利进行成果转化且到学校账户金额300万元（含）—500万元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160</w:t>
            </w:r>
          </w:p>
        </w:tc>
      </w:tr>
      <w:tr>
        <w:tblPrEx>
          <w:tblCellMar>
            <w:top w:w="15" w:type="dxa"/>
            <w:left w:w="15" w:type="dxa"/>
            <w:bottom w:w="15" w:type="dxa"/>
            <w:right w:w="15" w:type="dxa"/>
          </w:tblCellMar>
        </w:tblPrEx>
        <w:trPr>
          <w:trHeight w:val="464"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highlight w:val="none"/>
                <w:lang w:eastAsia="zh-CN" w:bidi="ar"/>
              </w:rPr>
            </w:pPr>
            <w:r>
              <w:rPr>
                <w:rFonts w:hint="eastAsia" w:ascii="仿宋" w:hAnsi="仿宋" w:eastAsia="仿宋" w:cs="仿宋"/>
                <w:color w:val="000000"/>
                <w:kern w:val="0"/>
                <w:sz w:val="28"/>
                <w:szCs w:val="28"/>
                <w:highlight w:val="none"/>
                <w:lang w:bidi="ar"/>
              </w:rPr>
              <w:t>主持省部级重大科研项目</w:t>
            </w:r>
            <w:r>
              <w:rPr>
                <w:rFonts w:hint="eastAsia" w:ascii="仿宋" w:hAnsi="仿宋" w:eastAsia="仿宋" w:cs="仿宋"/>
                <w:color w:val="000000"/>
                <w:kern w:val="0"/>
                <w:sz w:val="28"/>
                <w:szCs w:val="28"/>
                <w:highlight w:val="none"/>
                <w:lang w:eastAsia="zh-CN" w:bidi="ar"/>
              </w:rPr>
              <w:t>，</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专利进行成果转化且到学校账户金额100万元（含）—300万元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100</w:t>
            </w:r>
          </w:p>
        </w:tc>
      </w:tr>
      <w:tr>
        <w:tblPrEx>
          <w:tblCellMar>
            <w:top w:w="15" w:type="dxa"/>
            <w:left w:w="15" w:type="dxa"/>
            <w:bottom w:w="15" w:type="dxa"/>
            <w:right w:w="15" w:type="dxa"/>
          </w:tblCellMar>
        </w:tblPrEx>
        <w:trPr>
          <w:trHeight w:val="390"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val="en-US" w:eastAsia="zh-CN" w:bidi="ar"/>
              </w:rPr>
              <w:t>专利进行成果转化且到学校账户金额50万元（含）—100万元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40</w:t>
            </w:r>
          </w:p>
        </w:tc>
      </w:tr>
      <w:tr>
        <w:tblPrEx>
          <w:tblCellMar>
            <w:top w:w="15" w:type="dxa"/>
            <w:left w:w="15" w:type="dxa"/>
            <w:bottom w:w="15" w:type="dxa"/>
            <w:right w:w="15" w:type="dxa"/>
          </w:tblCellMar>
        </w:tblPrEx>
        <w:trPr>
          <w:trHeight w:val="390"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主持省部级一般项目</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10</w:t>
            </w:r>
          </w:p>
        </w:tc>
      </w:tr>
      <w:tr>
        <w:tblPrEx>
          <w:tblCellMar>
            <w:top w:w="15" w:type="dxa"/>
            <w:left w:w="15" w:type="dxa"/>
            <w:bottom w:w="15" w:type="dxa"/>
            <w:right w:w="15" w:type="dxa"/>
          </w:tblCellMar>
        </w:tblPrEx>
        <w:trPr>
          <w:trHeight w:val="390" w:hRule="atLeast"/>
        </w:trPr>
        <w:tc>
          <w:tcPr>
            <w:tcW w:w="8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宋体" w:cs="仿宋"/>
                <w:color w:val="000000"/>
                <w:kern w:val="2"/>
                <w:sz w:val="28"/>
                <w:szCs w:val="28"/>
                <w:lang w:val="en-US" w:eastAsia="zh-CN" w:bidi="ar-SA"/>
              </w:rPr>
            </w:pPr>
            <w:r>
              <w:rPr>
                <w:rFonts w:hint="eastAsia" w:ascii="仿宋" w:hAnsi="仿宋" w:eastAsia="仿宋" w:cs="仿宋"/>
                <w:color w:val="000000"/>
                <w:kern w:val="0"/>
                <w:sz w:val="28"/>
                <w:szCs w:val="28"/>
                <w:lang w:bidi="ar"/>
              </w:rPr>
              <w:t>授权发明专利</w:t>
            </w:r>
            <w:r>
              <w:rPr>
                <w:rFonts w:hint="eastAsia"/>
                <w:lang w:eastAsia="zh-CN"/>
              </w:rPr>
              <w:t>，</w:t>
            </w:r>
            <w:r>
              <w:rPr>
                <w:rFonts w:hint="eastAsia" w:ascii="仿宋" w:hAnsi="仿宋" w:eastAsia="仿宋" w:cs="仿宋"/>
                <w:color w:val="000000"/>
                <w:kern w:val="0"/>
                <w:sz w:val="28"/>
                <w:szCs w:val="28"/>
                <w:lang w:bidi="ar"/>
              </w:rPr>
              <w:t>仅计分一次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0"/>
                <w:sz w:val="28"/>
                <w:szCs w:val="28"/>
                <w:lang w:bidi="ar"/>
              </w:rPr>
              <w:t>10</w:t>
            </w:r>
          </w:p>
        </w:tc>
      </w:tr>
    </w:tbl>
    <w:p>
      <w:pPr>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备注：1.科研项目主持单位须为贵州大学；2.仅限排名第1或导师第1学生第2的项目、专利。</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（3）学科竞赛</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A类竞赛：“挑战杯”全国大学生课外学术科技作品竞赛红色、黑科技专项赛，“挑战杯”</w:t>
      </w:r>
      <w:r>
        <w:rPr>
          <w:rFonts w:hint="eastAsia" w:ascii="仿宋_GB2312" w:hAnsi="仿宋" w:eastAsia="仿宋_GB2312" w:cs="仿宋"/>
          <w:sz w:val="32"/>
          <w:szCs w:val="32"/>
          <w:highlight w:val="none"/>
          <w:lang w:val="en-US" w:eastAsia="zh-CN"/>
        </w:rPr>
        <w:t>中</w:t>
      </w:r>
      <w:r>
        <w:rPr>
          <w:rFonts w:hint="eastAsia" w:ascii="仿宋" w:hAnsi="仿宋" w:eastAsia="仿宋" w:cs="仿宋"/>
          <w:sz w:val="32"/>
          <w:szCs w:val="32"/>
          <w:highlight w:val="none"/>
          <w:lang w:val="en-US" w:eastAsia="zh-CN"/>
        </w:rPr>
        <w:t>国大学生创业计划竞赛</w:t>
      </w:r>
    </w:p>
    <w:tbl>
      <w:tblPr>
        <w:tblStyle w:val="8"/>
        <w:tblpPr w:leftFromText="180" w:rightFromText="180" w:vertAnchor="text" w:horzAnchor="page" w:tblpX="1327" w:tblpY="181"/>
        <w:tblOverlap w:val="never"/>
        <w:tblW w:w="9777" w:type="dxa"/>
        <w:tblInd w:w="0" w:type="dxa"/>
        <w:tblLayout w:type="fixed"/>
        <w:tblCellMar>
          <w:top w:w="15" w:type="dxa"/>
          <w:left w:w="15" w:type="dxa"/>
          <w:bottom w:w="15" w:type="dxa"/>
          <w:right w:w="15" w:type="dxa"/>
        </w:tblCellMar>
      </w:tblPr>
      <w:tblGrid>
        <w:gridCol w:w="1785"/>
        <w:gridCol w:w="2040"/>
        <w:gridCol w:w="1935"/>
        <w:gridCol w:w="1890"/>
        <w:gridCol w:w="2127"/>
      </w:tblGrid>
      <w:tr>
        <w:tblPrEx>
          <w:tblCellMar>
            <w:top w:w="15" w:type="dxa"/>
            <w:left w:w="15" w:type="dxa"/>
            <w:bottom w:w="15" w:type="dxa"/>
            <w:right w:w="15" w:type="dxa"/>
          </w:tblCellMar>
        </w:tblPrEx>
        <w:trPr>
          <w:trHeight w:val="636"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等次</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kern w:val="0"/>
                <w:sz w:val="28"/>
                <w:szCs w:val="28"/>
                <w:lang w:bidi="ar"/>
              </w:rPr>
              <w:t>团队排名第一</w:t>
            </w:r>
            <w:r>
              <w:rPr>
                <w:rFonts w:hint="eastAsia" w:ascii="仿宋" w:hAnsi="仿宋" w:eastAsia="仿宋" w:cs="仿宋"/>
                <w:b/>
                <w:bCs w:val="0"/>
                <w:color w:val="000000"/>
                <w:kern w:val="0"/>
                <w:sz w:val="28"/>
                <w:szCs w:val="28"/>
                <w:lang w:eastAsia="zh-CN" w:bidi="ar"/>
              </w:rPr>
              <w:t>（</w:t>
            </w:r>
            <w:r>
              <w:rPr>
                <w:rFonts w:hint="eastAsia" w:ascii="仿宋" w:hAnsi="仿宋" w:eastAsia="仿宋" w:cs="仿宋"/>
                <w:b/>
                <w:bCs w:val="0"/>
                <w:color w:val="000000"/>
                <w:kern w:val="0"/>
                <w:sz w:val="28"/>
                <w:szCs w:val="28"/>
                <w:lang w:val="en-US" w:eastAsia="zh-CN" w:bidi="ar"/>
              </w:rPr>
              <w:t>路演人</w:t>
            </w:r>
            <w:r>
              <w:rPr>
                <w:rFonts w:hint="eastAsia" w:ascii="仿宋" w:hAnsi="仿宋" w:eastAsia="仿宋" w:cs="仿宋"/>
                <w:b/>
                <w:bCs w:val="0"/>
                <w:color w:val="000000"/>
                <w:kern w:val="0"/>
                <w:sz w:val="28"/>
                <w:szCs w:val="28"/>
                <w:lang w:eastAsia="zh-CN" w:bidi="ar"/>
              </w:rPr>
              <w:t>）</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团队排名第二</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团队排名第三</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val="0"/>
                <w:color w:val="000000"/>
                <w:kern w:val="0"/>
                <w:sz w:val="28"/>
                <w:szCs w:val="28"/>
                <w:lang w:val="en-US" w:eastAsia="zh-CN" w:bidi="ar"/>
              </w:rPr>
            </w:pPr>
            <w:r>
              <w:rPr>
                <w:rFonts w:hint="eastAsia" w:ascii="仿宋" w:hAnsi="仿宋" w:eastAsia="仿宋" w:cs="仿宋"/>
                <w:b/>
                <w:bCs w:val="0"/>
                <w:color w:val="000000"/>
                <w:kern w:val="0"/>
                <w:sz w:val="28"/>
                <w:szCs w:val="28"/>
                <w:lang w:val="en-US" w:eastAsia="zh-CN" w:bidi="ar"/>
              </w:rPr>
              <w:t>团队排名第四</w:t>
            </w:r>
          </w:p>
        </w:tc>
      </w:tr>
      <w:tr>
        <w:tblPrEx>
          <w:tblCellMar>
            <w:top w:w="15" w:type="dxa"/>
            <w:left w:w="15" w:type="dxa"/>
            <w:bottom w:w="15" w:type="dxa"/>
            <w:right w:w="15" w:type="dxa"/>
          </w:tblCellMar>
        </w:tblPrEx>
        <w:trPr>
          <w:trHeight w:val="90"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国赛特等奖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金奖</w:t>
            </w:r>
            <w:r>
              <w:rPr>
                <w:rFonts w:hint="eastAsia" w:ascii="仿宋" w:hAnsi="仿宋" w:eastAsia="仿宋" w:cs="仿宋"/>
                <w:color w:val="000000"/>
                <w:kern w:val="0"/>
                <w:sz w:val="28"/>
                <w:szCs w:val="28"/>
                <w:lang w:eastAsia="zh-CN" w:bidi="ar"/>
              </w:rPr>
              <w:t>）</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170</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140</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110</w:t>
            </w:r>
          </w:p>
        </w:tc>
      </w:tr>
      <w:tr>
        <w:tblPrEx>
          <w:tblCellMar>
            <w:top w:w="15" w:type="dxa"/>
            <w:left w:w="15" w:type="dxa"/>
            <w:bottom w:w="15" w:type="dxa"/>
            <w:right w:w="15" w:type="dxa"/>
          </w:tblCellMar>
        </w:tblPrEx>
        <w:trPr>
          <w:trHeight w:val="80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国赛一等奖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银奖</w:t>
            </w:r>
            <w:r>
              <w:rPr>
                <w:rFonts w:hint="eastAsia" w:ascii="仿宋" w:hAnsi="仿宋" w:eastAsia="仿宋" w:cs="仿宋"/>
                <w:color w:val="000000"/>
                <w:kern w:val="0"/>
                <w:sz w:val="28"/>
                <w:szCs w:val="28"/>
                <w:lang w:eastAsia="zh-CN" w:bidi="ar"/>
              </w:rPr>
              <w:t>）</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rPr>
            </w:pPr>
            <w:r>
              <w:rPr>
                <w:rFonts w:hint="eastAsia" w:ascii="仿宋" w:hAnsi="仿宋" w:eastAsia="仿宋" w:cs="仿宋"/>
                <w:color w:val="000000"/>
                <w:kern w:val="0"/>
                <w:sz w:val="28"/>
                <w:szCs w:val="28"/>
                <w:lang w:val="en-US" w:eastAsia="zh-CN" w:bidi="ar"/>
              </w:rPr>
              <w:t>160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120</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80</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60</w:t>
            </w:r>
          </w:p>
        </w:tc>
      </w:tr>
      <w:tr>
        <w:tblPrEx>
          <w:tblCellMar>
            <w:top w:w="15" w:type="dxa"/>
            <w:left w:w="15" w:type="dxa"/>
            <w:bottom w:w="15" w:type="dxa"/>
            <w:right w:w="15" w:type="dxa"/>
          </w:tblCellMar>
        </w:tblPrEx>
        <w:trPr>
          <w:trHeight w:val="805"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国赛二等奖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铜奖</w:t>
            </w:r>
            <w:r>
              <w:rPr>
                <w:rFonts w:hint="eastAsia" w:ascii="仿宋" w:hAnsi="仿宋" w:eastAsia="仿宋" w:cs="仿宋"/>
                <w:color w:val="000000"/>
                <w:kern w:val="0"/>
                <w:sz w:val="28"/>
                <w:szCs w:val="28"/>
                <w:lang w:eastAsia="zh-CN" w:bidi="ar"/>
              </w:rPr>
              <w:t>）</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80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60</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50</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40</w:t>
            </w:r>
          </w:p>
        </w:tc>
      </w:tr>
      <w:tr>
        <w:tblPrEx>
          <w:tblCellMar>
            <w:top w:w="15" w:type="dxa"/>
            <w:left w:w="15" w:type="dxa"/>
            <w:bottom w:w="15" w:type="dxa"/>
            <w:right w:w="15" w:type="dxa"/>
          </w:tblCellMar>
        </w:tblPrEx>
        <w:trPr>
          <w:trHeight w:val="646" w:hRule="atLeast"/>
        </w:trPr>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国赛三等奖</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50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30</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备注：在中国国际大学生创新大赛、“挑战杯”全国大学生课外学术科技作品竞赛主赛道、“揭榜挂帅”专项赛事中取得相应成绩的，在此基础上再加40分。</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B类竞赛：中国研究生创新实践系列大赛</w:t>
      </w:r>
    </w:p>
    <w:tbl>
      <w:tblPr>
        <w:tblStyle w:val="8"/>
        <w:tblpPr w:leftFromText="180" w:rightFromText="180" w:vertAnchor="text" w:horzAnchor="page" w:tblpX="1357" w:tblpY="181"/>
        <w:tblOverlap w:val="never"/>
        <w:tblW w:w="9727" w:type="dxa"/>
        <w:tblInd w:w="0" w:type="dxa"/>
        <w:tblLayout w:type="fixed"/>
        <w:tblCellMar>
          <w:top w:w="15" w:type="dxa"/>
          <w:left w:w="15" w:type="dxa"/>
          <w:bottom w:w="15" w:type="dxa"/>
          <w:right w:w="15" w:type="dxa"/>
        </w:tblCellMar>
      </w:tblPr>
      <w:tblGrid>
        <w:gridCol w:w="1845"/>
        <w:gridCol w:w="1995"/>
        <w:gridCol w:w="1905"/>
        <w:gridCol w:w="1995"/>
        <w:gridCol w:w="1987"/>
      </w:tblGrid>
      <w:tr>
        <w:tblPrEx>
          <w:tblCellMar>
            <w:top w:w="15" w:type="dxa"/>
            <w:left w:w="15" w:type="dxa"/>
            <w:bottom w:w="15" w:type="dxa"/>
            <w:right w:w="15" w:type="dxa"/>
          </w:tblCellMar>
        </w:tblPrEx>
        <w:trPr>
          <w:trHeight w:val="605"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等次</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kern w:val="0"/>
                <w:sz w:val="28"/>
                <w:szCs w:val="28"/>
                <w:lang w:bidi="ar"/>
              </w:rPr>
              <w:t>团队排名第一</w:t>
            </w:r>
            <w:r>
              <w:rPr>
                <w:rFonts w:hint="eastAsia" w:ascii="仿宋" w:hAnsi="仿宋" w:eastAsia="仿宋" w:cs="仿宋"/>
                <w:b/>
                <w:bCs w:val="0"/>
                <w:color w:val="000000"/>
                <w:kern w:val="0"/>
                <w:sz w:val="28"/>
                <w:szCs w:val="28"/>
                <w:lang w:eastAsia="zh-CN" w:bidi="ar"/>
              </w:rPr>
              <w:t>（</w:t>
            </w:r>
            <w:r>
              <w:rPr>
                <w:rFonts w:hint="eastAsia" w:ascii="仿宋" w:hAnsi="仿宋" w:eastAsia="仿宋" w:cs="仿宋"/>
                <w:b/>
                <w:bCs w:val="0"/>
                <w:color w:val="000000"/>
                <w:kern w:val="0"/>
                <w:sz w:val="28"/>
                <w:szCs w:val="28"/>
                <w:lang w:val="en-US" w:eastAsia="zh-CN" w:bidi="ar"/>
              </w:rPr>
              <w:t>路演人</w:t>
            </w:r>
            <w:r>
              <w:rPr>
                <w:rFonts w:hint="eastAsia" w:ascii="仿宋" w:hAnsi="仿宋" w:eastAsia="仿宋" w:cs="仿宋"/>
                <w:b/>
                <w:bCs w:val="0"/>
                <w:color w:val="000000"/>
                <w:kern w:val="0"/>
                <w:sz w:val="28"/>
                <w:szCs w:val="28"/>
                <w:lang w:eastAsia="zh-CN" w:bidi="ar"/>
              </w:rPr>
              <w:t>）</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团队排名第二</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团队排名第三</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kern w:val="0"/>
                <w:sz w:val="28"/>
                <w:szCs w:val="28"/>
                <w:lang w:val="en-US" w:eastAsia="zh-CN" w:bidi="ar"/>
              </w:rPr>
            </w:pPr>
            <w:r>
              <w:rPr>
                <w:rFonts w:hint="eastAsia" w:ascii="仿宋" w:hAnsi="仿宋" w:eastAsia="仿宋" w:cs="仿宋"/>
                <w:b/>
                <w:bCs w:val="0"/>
                <w:color w:val="000000"/>
                <w:kern w:val="0"/>
                <w:sz w:val="28"/>
                <w:szCs w:val="28"/>
                <w:lang w:bidi="ar"/>
              </w:rPr>
              <w:t>团队排名第</w:t>
            </w:r>
            <w:r>
              <w:rPr>
                <w:rFonts w:hint="eastAsia" w:ascii="仿宋" w:hAnsi="仿宋" w:eastAsia="仿宋" w:cs="仿宋"/>
                <w:b/>
                <w:bCs w:val="0"/>
                <w:color w:val="000000"/>
                <w:kern w:val="0"/>
                <w:sz w:val="28"/>
                <w:szCs w:val="28"/>
                <w:lang w:val="en-US" w:eastAsia="zh-CN" w:bidi="ar"/>
              </w:rPr>
              <w:t>四</w:t>
            </w:r>
          </w:p>
        </w:tc>
      </w:tr>
      <w:tr>
        <w:tblPrEx>
          <w:tblCellMar>
            <w:top w:w="15" w:type="dxa"/>
            <w:left w:w="15" w:type="dxa"/>
            <w:bottom w:w="15" w:type="dxa"/>
            <w:right w:w="15" w:type="dxa"/>
          </w:tblCellMar>
        </w:tblPrEx>
        <w:trPr>
          <w:trHeight w:val="605"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称号奖</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（金奖）</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160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120</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90</w:t>
            </w:r>
          </w:p>
        </w:tc>
      </w:tr>
      <w:tr>
        <w:tblPrEx>
          <w:tblCellMar>
            <w:top w:w="15" w:type="dxa"/>
            <w:left w:w="15" w:type="dxa"/>
            <w:bottom w:w="15" w:type="dxa"/>
            <w:right w:w="15" w:type="dxa"/>
          </w:tblCellMar>
        </w:tblPrEx>
        <w:trPr>
          <w:trHeight w:val="605"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国赛一等奖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银奖</w:t>
            </w:r>
            <w:r>
              <w:rPr>
                <w:rFonts w:hint="eastAsia" w:ascii="仿宋" w:hAnsi="仿宋" w:eastAsia="仿宋" w:cs="仿宋"/>
                <w:color w:val="000000"/>
                <w:kern w:val="0"/>
                <w:sz w:val="28"/>
                <w:szCs w:val="28"/>
                <w:lang w:eastAsia="zh-CN" w:bidi="ar"/>
              </w:rPr>
              <w:t>）</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rPr>
            </w:pPr>
            <w:r>
              <w:rPr>
                <w:rFonts w:hint="eastAsia" w:ascii="仿宋" w:hAnsi="仿宋" w:eastAsia="仿宋" w:cs="仿宋"/>
                <w:color w:val="000000"/>
                <w:kern w:val="0"/>
                <w:sz w:val="28"/>
                <w:szCs w:val="28"/>
                <w:lang w:val="en-US" w:eastAsia="zh-CN" w:bidi="ar"/>
              </w:rPr>
              <w:t>120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60</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50</w:t>
            </w:r>
          </w:p>
        </w:tc>
      </w:tr>
      <w:tr>
        <w:tblPrEx>
          <w:tblCellMar>
            <w:top w:w="15" w:type="dxa"/>
            <w:left w:w="15" w:type="dxa"/>
            <w:bottom w:w="15" w:type="dxa"/>
            <w:right w:w="15" w:type="dxa"/>
          </w:tblCellMar>
        </w:tblPrEx>
        <w:trPr>
          <w:trHeight w:val="605"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国赛二等奖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铜奖</w:t>
            </w:r>
            <w:r>
              <w:rPr>
                <w:rFonts w:hint="eastAsia" w:ascii="仿宋" w:hAnsi="仿宋" w:eastAsia="仿宋" w:cs="仿宋"/>
                <w:color w:val="000000"/>
                <w:kern w:val="0"/>
                <w:sz w:val="28"/>
                <w:szCs w:val="28"/>
                <w:lang w:eastAsia="zh-CN" w:bidi="ar"/>
              </w:rPr>
              <w:t>）</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30</w:t>
            </w:r>
          </w:p>
        </w:tc>
      </w:tr>
      <w:tr>
        <w:tblPrEx>
          <w:tblCellMar>
            <w:top w:w="15" w:type="dxa"/>
            <w:left w:w="15" w:type="dxa"/>
            <w:bottom w:w="15" w:type="dxa"/>
            <w:right w:w="15" w:type="dxa"/>
          </w:tblCellMar>
        </w:tblPrEx>
        <w:trPr>
          <w:trHeight w:val="614" w:hRule="atLeast"/>
        </w:trPr>
        <w:tc>
          <w:tcPr>
            <w:tcW w:w="1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国赛三等奖</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30</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10</w:t>
            </w:r>
          </w:p>
        </w:tc>
      </w:tr>
    </w:tbl>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C类竞赛：当年列入高等教育学会“全国普通高等学校大学生竞赛分析报告竞赛目录”中研究生专项赛事</w:t>
      </w:r>
    </w:p>
    <w:tbl>
      <w:tblPr>
        <w:tblStyle w:val="8"/>
        <w:tblpPr w:leftFromText="180" w:rightFromText="180" w:vertAnchor="text" w:horzAnchor="page" w:tblpX="1906" w:tblpY="181"/>
        <w:tblOverlap w:val="never"/>
        <w:tblW w:w="8316" w:type="dxa"/>
        <w:tblInd w:w="0" w:type="dxa"/>
        <w:tblLayout w:type="fixed"/>
        <w:tblCellMar>
          <w:top w:w="15" w:type="dxa"/>
          <w:left w:w="15" w:type="dxa"/>
          <w:bottom w:w="15" w:type="dxa"/>
          <w:right w:w="15" w:type="dxa"/>
        </w:tblCellMar>
      </w:tblPr>
      <w:tblGrid>
        <w:gridCol w:w="1674"/>
        <w:gridCol w:w="2262"/>
        <w:gridCol w:w="2160"/>
        <w:gridCol w:w="2220"/>
      </w:tblGrid>
      <w:tr>
        <w:tblPrEx>
          <w:tblCellMar>
            <w:top w:w="15" w:type="dxa"/>
            <w:left w:w="15" w:type="dxa"/>
            <w:bottom w:w="15" w:type="dxa"/>
            <w:right w:w="15" w:type="dxa"/>
          </w:tblCellMar>
        </w:tblPrEx>
        <w:trPr>
          <w:trHeight w:val="670" w:hRule="atLeast"/>
        </w:trPr>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等次</w:t>
            </w:r>
          </w:p>
        </w:tc>
        <w:tc>
          <w:tcPr>
            <w:tcW w:w="22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kern w:val="0"/>
                <w:sz w:val="28"/>
                <w:szCs w:val="28"/>
                <w:lang w:bidi="ar"/>
              </w:rPr>
            </w:pPr>
            <w:r>
              <w:rPr>
                <w:rFonts w:hint="eastAsia" w:ascii="仿宋" w:hAnsi="仿宋" w:eastAsia="仿宋" w:cs="仿宋"/>
                <w:b/>
                <w:bCs w:val="0"/>
                <w:color w:val="000000"/>
                <w:kern w:val="0"/>
                <w:sz w:val="28"/>
                <w:szCs w:val="28"/>
                <w:lang w:bidi="ar"/>
              </w:rPr>
              <w:t>团队排名第一</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kern w:val="0"/>
                <w:sz w:val="28"/>
                <w:szCs w:val="28"/>
                <w:lang w:eastAsia="zh-CN" w:bidi="ar"/>
              </w:rPr>
              <w:t>（</w:t>
            </w:r>
            <w:r>
              <w:rPr>
                <w:rFonts w:hint="eastAsia" w:ascii="仿宋" w:hAnsi="仿宋" w:eastAsia="仿宋" w:cs="仿宋"/>
                <w:b/>
                <w:bCs w:val="0"/>
                <w:color w:val="000000"/>
                <w:kern w:val="0"/>
                <w:sz w:val="28"/>
                <w:szCs w:val="28"/>
                <w:lang w:val="en-US" w:eastAsia="zh-CN" w:bidi="ar"/>
              </w:rPr>
              <w:t>路演人</w:t>
            </w:r>
            <w:r>
              <w:rPr>
                <w:rFonts w:hint="eastAsia" w:ascii="仿宋" w:hAnsi="仿宋" w:eastAsia="仿宋" w:cs="仿宋"/>
                <w:b/>
                <w:bCs w:val="0"/>
                <w:color w:val="000000"/>
                <w:kern w:val="0"/>
                <w:sz w:val="28"/>
                <w:szCs w:val="28"/>
                <w:lang w:eastAsia="zh-CN" w:bidi="ar"/>
              </w:rPr>
              <w:t>）</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团队排名第二</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团队排名第三</w:t>
            </w:r>
          </w:p>
        </w:tc>
      </w:tr>
      <w:tr>
        <w:tblPrEx>
          <w:tblCellMar>
            <w:top w:w="15" w:type="dxa"/>
            <w:left w:w="15" w:type="dxa"/>
            <w:bottom w:w="15" w:type="dxa"/>
            <w:right w:w="15" w:type="dxa"/>
          </w:tblCellMar>
        </w:tblPrEx>
        <w:trPr>
          <w:trHeight w:val="494" w:hRule="atLeast"/>
        </w:trPr>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国赛一等奖</w:t>
            </w:r>
          </w:p>
        </w:tc>
        <w:tc>
          <w:tcPr>
            <w:tcW w:w="2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70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50</w:t>
            </w:r>
          </w:p>
        </w:tc>
      </w:tr>
      <w:tr>
        <w:tblPrEx>
          <w:tblCellMar>
            <w:top w:w="15" w:type="dxa"/>
            <w:left w:w="15" w:type="dxa"/>
            <w:bottom w:w="15" w:type="dxa"/>
            <w:right w:w="15" w:type="dxa"/>
          </w:tblCellMar>
        </w:tblPrEx>
        <w:trPr>
          <w:trHeight w:val="542" w:hRule="atLeast"/>
        </w:trPr>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国赛二等奖</w:t>
            </w:r>
          </w:p>
        </w:tc>
        <w:tc>
          <w:tcPr>
            <w:tcW w:w="2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50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40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30</w:t>
            </w:r>
          </w:p>
        </w:tc>
      </w:tr>
      <w:tr>
        <w:tblPrEx>
          <w:tblCellMar>
            <w:top w:w="15" w:type="dxa"/>
            <w:left w:w="15" w:type="dxa"/>
            <w:bottom w:w="15" w:type="dxa"/>
            <w:right w:w="15" w:type="dxa"/>
          </w:tblCellMar>
        </w:tblPrEx>
        <w:trPr>
          <w:trHeight w:val="637" w:hRule="atLeast"/>
        </w:trPr>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国赛三等奖</w:t>
            </w:r>
          </w:p>
        </w:tc>
        <w:tc>
          <w:tcPr>
            <w:tcW w:w="22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20</w:t>
            </w:r>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highlight w:val="none"/>
                <w:lang w:val="en-US" w:eastAsia="zh-CN" w:bidi="ar"/>
              </w:rPr>
              <w:t>10</w:t>
            </w:r>
          </w:p>
        </w:tc>
      </w:tr>
    </w:tbl>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D类竞赛：当年列入高等教育学会“全国普通高等学校大学生竞赛分析报告竞赛目录”中其它赛事</w:t>
      </w:r>
    </w:p>
    <w:tbl>
      <w:tblPr>
        <w:tblStyle w:val="8"/>
        <w:tblpPr w:leftFromText="180" w:rightFromText="180" w:vertAnchor="text" w:horzAnchor="page" w:tblpX="1906" w:tblpY="181"/>
        <w:tblOverlap w:val="never"/>
        <w:tblW w:w="8316" w:type="dxa"/>
        <w:tblInd w:w="0" w:type="dxa"/>
        <w:tblLayout w:type="fixed"/>
        <w:tblCellMar>
          <w:top w:w="15" w:type="dxa"/>
          <w:left w:w="15" w:type="dxa"/>
          <w:bottom w:w="15" w:type="dxa"/>
          <w:right w:w="15" w:type="dxa"/>
        </w:tblCellMar>
      </w:tblPr>
      <w:tblGrid>
        <w:gridCol w:w="1666"/>
        <w:gridCol w:w="2300"/>
        <w:gridCol w:w="2160"/>
        <w:gridCol w:w="2190"/>
      </w:tblGrid>
      <w:tr>
        <w:tblPrEx>
          <w:tblCellMar>
            <w:top w:w="15" w:type="dxa"/>
            <w:left w:w="15" w:type="dxa"/>
            <w:bottom w:w="15" w:type="dxa"/>
            <w:right w:w="15" w:type="dxa"/>
          </w:tblCellMar>
        </w:tblPrEx>
        <w:trPr>
          <w:trHeight w:val="636" w:hRule="atLeast"/>
        </w:trPr>
        <w:tc>
          <w:tcPr>
            <w:tcW w:w="1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等次</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kern w:val="0"/>
                <w:sz w:val="28"/>
                <w:szCs w:val="28"/>
                <w:lang w:bidi="ar"/>
              </w:rPr>
            </w:pPr>
            <w:r>
              <w:rPr>
                <w:rFonts w:hint="eastAsia" w:ascii="仿宋" w:hAnsi="仿宋" w:eastAsia="仿宋" w:cs="仿宋"/>
                <w:b/>
                <w:bCs w:val="0"/>
                <w:color w:val="000000"/>
                <w:kern w:val="0"/>
                <w:sz w:val="28"/>
                <w:szCs w:val="28"/>
                <w:lang w:bidi="ar"/>
              </w:rPr>
              <w:t>团队排名第一</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kern w:val="0"/>
                <w:sz w:val="28"/>
                <w:szCs w:val="28"/>
                <w:lang w:eastAsia="zh-CN" w:bidi="ar"/>
              </w:rPr>
              <w:t>（</w:t>
            </w:r>
            <w:r>
              <w:rPr>
                <w:rFonts w:hint="eastAsia" w:ascii="仿宋" w:hAnsi="仿宋" w:eastAsia="仿宋" w:cs="仿宋"/>
                <w:b/>
                <w:bCs w:val="0"/>
                <w:color w:val="000000"/>
                <w:kern w:val="0"/>
                <w:sz w:val="28"/>
                <w:szCs w:val="28"/>
                <w:lang w:val="en-US" w:eastAsia="zh-CN" w:bidi="ar"/>
              </w:rPr>
              <w:t>路演人</w:t>
            </w:r>
            <w:r>
              <w:rPr>
                <w:rFonts w:hint="eastAsia" w:ascii="仿宋" w:hAnsi="仿宋" w:eastAsia="仿宋" w:cs="仿宋"/>
                <w:b/>
                <w:bCs w:val="0"/>
                <w:color w:val="000000"/>
                <w:kern w:val="0"/>
                <w:sz w:val="28"/>
                <w:szCs w:val="28"/>
                <w:lang w:eastAsia="zh-CN" w:bidi="ar"/>
              </w:rPr>
              <w:t>）</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团队排名第二</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lang w:bidi="ar"/>
              </w:rPr>
              <w:t>团队排名第三</w:t>
            </w:r>
          </w:p>
        </w:tc>
      </w:tr>
      <w:tr>
        <w:tblPrEx>
          <w:tblCellMar>
            <w:top w:w="15" w:type="dxa"/>
            <w:left w:w="15" w:type="dxa"/>
            <w:bottom w:w="15" w:type="dxa"/>
            <w:right w:w="15" w:type="dxa"/>
          </w:tblCellMar>
        </w:tblPrEx>
        <w:trPr>
          <w:trHeight w:val="805" w:hRule="atLeast"/>
        </w:trPr>
        <w:tc>
          <w:tcPr>
            <w:tcW w:w="1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国赛一等奖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金奖</w:t>
            </w:r>
            <w:r>
              <w:rPr>
                <w:rFonts w:hint="eastAsia" w:ascii="仿宋" w:hAnsi="仿宋" w:eastAsia="仿宋" w:cs="仿宋"/>
                <w:color w:val="000000"/>
                <w:kern w:val="0"/>
                <w:sz w:val="28"/>
                <w:szCs w:val="28"/>
                <w:lang w:eastAsia="zh-CN" w:bidi="ar"/>
              </w:rPr>
              <w:t>）</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rPr>
            </w:pPr>
            <w:r>
              <w:rPr>
                <w:rFonts w:hint="eastAsia" w:ascii="仿宋" w:hAnsi="仿宋" w:eastAsia="仿宋" w:cs="仿宋"/>
                <w:color w:val="000000"/>
                <w:kern w:val="0"/>
                <w:sz w:val="28"/>
                <w:szCs w:val="28"/>
                <w:lang w:val="en-US" w:eastAsia="zh-CN" w:bidi="ar"/>
              </w:rPr>
              <w:t>80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60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40</w:t>
            </w:r>
          </w:p>
        </w:tc>
      </w:tr>
      <w:tr>
        <w:tblPrEx>
          <w:tblCellMar>
            <w:top w:w="15" w:type="dxa"/>
            <w:left w:w="15" w:type="dxa"/>
            <w:bottom w:w="15" w:type="dxa"/>
            <w:right w:w="15" w:type="dxa"/>
          </w:tblCellMar>
        </w:tblPrEx>
        <w:trPr>
          <w:trHeight w:val="805" w:hRule="atLeast"/>
        </w:trPr>
        <w:tc>
          <w:tcPr>
            <w:tcW w:w="1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bidi="ar"/>
              </w:rPr>
              <w:t>国赛二等奖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银奖</w:t>
            </w:r>
            <w:r>
              <w:rPr>
                <w:rFonts w:hint="eastAsia" w:ascii="仿宋" w:hAnsi="仿宋" w:eastAsia="仿宋" w:cs="仿宋"/>
                <w:color w:val="000000"/>
                <w:kern w:val="0"/>
                <w:sz w:val="28"/>
                <w:szCs w:val="28"/>
                <w:lang w:eastAsia="zh-CN" w:bidi="ar"/>
              </w:rPr>
              <w:t>）</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40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20</w:t>
            </w:r>
          </w:p>
        </w:tc>
      </w:tr>
      <w:tr>
        <w:tblPrEx>
          <w:tblCellMar>
            <w:top w:w="15" w:type="dxa"/>
            <w:left w:w="15" w:type="dxa"/>
            <w:bottom w:w="15" w:type="dxa"/>
            <w:right w:w="15" w:type="dxa"/>
          </w:tblCellMar>
        </w:tblPrEx>
        <w:trPr>
          <w:trHeight w:val="815" w:hRule="atLeast"/>
        </w:trPr>
        <w:tc>
          <w:tcPr>
            <w:tcW w:w="1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国赛三等奖</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铜奖</w:t>
            </w:r>
            <w:r>
              <w:rPr>
                <w:rFonts w:hint="eastAsia" w:ascii="仿宋" w:hAnsi="仿宋" w:eastAsia="仿宋" w:cs="仿宋"/>
                <w:color w:val="000000"/>
                <w:kern w:val="0"/>
                <w:sz w:val="28"/>
                <w:szCs w:val="28"/>
                <w:lang w:eastAsia="zh-CN" w:bidi="ar"/>
              </w:rPr>
              <w:t>）</w:t>
            </w:r>
          </w:p>
        </w:tc>
        <w:tc>
          <w:tcPr>
            <w:tcW w:w="23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20</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kern w:val="0"/>
                <w:sz w:val="28"/>
                <w:szCs w:val="28"/>
                <w:lang w:val="en-US" w:eastAsia="zh-CN" w:bidi="ar"/>
              </w:rPr>
              <w:t>5</w:t>
            </w:r>
          </w:p>
        </w:tc>
      </w:tr>
    </w:tbl>
    <w:p>
      <w:pPr>
        <w:numPr>
          <w:ilvl w:val="0"/>
          <w:numId w:val="0"/>
        </w:num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备注：同一项目参赛获得不同奖项的，只加一次分。同一项目只按获得的最高级别的奖项加分。</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（4）学术交流</w:t>
      </w:r>
    </w:p>
    <w:tbl>
      <w:tblPr>
        <w:tblStyle w:val="8"/>
        <w:tblW w:w="88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2"/>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项目名称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参加高水平国际学术会议并做大会报告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参加高水平国际学术会议并做分组报告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参加一级学会主办的高水平国内学术会议并做大会报告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参加一级学会主办的高水平国内学术会议并做分组报告</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国外知名高水平大学访学</w:t>
            </w:r>
            <w:r>
              <w:rPr>
                <w:rStyle w:val="13"/>
                <w:rFonts w:hint="eastAsia" w:ascii="仿宋" w:hAnsi="仿宋" w:eastAsia="仿宋" w:cs="仿宋"/>
                <w:sz w:val="28"/>
                <w:szCs w:val="28"/>
                <w:lang w:val="en-US" w:eastAsia="zh-CN" w:bidi="ar"/>
              </w:rPr>
              <w:t>3</w:t>
            </w:r>
            <w:r>
              <w:rPr>
                <w:rStyle w:val="14"/>
                <w:rFonts w:hint="eastAsia" w:ascii="仿宋" w:hAnsi="仿宋" w:eastAsia="仿宋" w:cs="仿宋"/>
                <w:sz w:val="28"/>
                <w:szCs w:val="28"/>
                <w:lang w:val="en-US" w:eastAsia="zh-CN" w:bidi="ar"/>
              </w:rPr>
              <w:t>个月及以上，仅计分一次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参加本学科（专业）认可的高水平国内外学术会议，仅计分一次</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r>
    </w:tbl>
    <w:p>
      <w:pPr>
        <w:numPr>
          <w:ilvl w:val="0"/>
          <w:numId w:val="2"/>
        </w:numPr>
        <w:spacing w:line="560" w:lineRule="exact"/>
        <w:ind w:firstLine="640" w:firstLineChars="200"/>
        <w:rPr>
          <w:rFonts w:hint="eastAsia" w:ascii="仿宋" w:hAnsi="仿宋" w:eastAsia="仿宋" w:cs="仿宋"/>
          <w:sz w:val="32"/>
          <w:szCs w:val="32"/>
          <w:lang w:val="en-US"/>
        </w:rPr>
      </w:pPr>
      <w:r>
        <w:rPr>
          <w:rFonts w:hint="eastAsia" w:ascii="仿宋" w:hAnsi="仿宋" w:eastAsia="仿宋" w:cs="仿宋"/>
          <w:b w:val="0"/>
          <w:bCs w:val="0"/>
          <w:kern w:val="2"/>
          <w:sz w:val="32"/>
          <w:szCs w:val="32"/>
          <w:lang w:val="en-US" w:eastAsia="zh-CN" w:bidi="ar-SA"/>
        </w:rPr>
        <w:t>智育分</w:t>
      </w:r>
      <w:r>
        <w:rPr>
          <w:rFonts w:hint="eastAsia" w:ascii="仿宋" w:hAnsi="仿宋" w:eastAsia="仿宋" w:cs="仿宋"/>
          <w:sz w:val="32"/>
          <w:szCs w:val="32"/>
        </w:rPr>
        <w:t>百分制成绩转化公式：</w:t>
      </w:r>
    </w:p>
    <w:p>
      <w:pPr>
        <w:numPr>
          <w:ilvl w:val="0"/>
          <w:numId w:val="0"/>
        </w:numPr>
        <w:spacing w:line="560" w:lineRule="exact"/>
        <w:rPr>
          <w:rFonts w:hint="default" w:ascii="仿宋_GB2312" w:hAnsi="仿宋" w:eastAsia="仿宋_GB2312" w:cs="仿宋"/>
          <w:b w:val="0"/>
          <w:bCs w:val="0"/>
          <w:kern w:val="2"/>
          <w:sz w:val="32"/>
          <w:szCs w:val="32"/>
          <w:lang w:val="en-US" w:eastAsia="zh-CN" w:bidi="ar-SA"/>
        </w:rPr>
      </w:pPr>
      <m:oMathPara>
        <m:oMathParaPr>
          <m:jc m:val="center"/>
        </m:oMathParaPr>
        <m:oMath>
          <m:r>
            <m:rPr>
              <m:sty m:val="p"/>
            </m:rPr>
            <w:rPr>
              <w:rFonts w:hint="eastAsia" w:ascii="Cambria Math" w:hAnsi="Cambria Math" w:eastAsia="仿宋" w:cs="仿宋"/>
              <w:sz w:val="28"/>
              <w:szCs w:val="28"/>
              <w:lang w:val="en-US" w:eastAsia="zh-CN"/>
            </w:rPr>
            <m:t>成绩</m:t>
          </m:r>
          <m:r>
            <m:rPr>
              <m:sty m:val="p"/>
            </m:rPr>
            <w:rPr>
              <w:rFonts w:hint="eastAsia" w:ascii="Cambria Math" w:hAnsi="Cambria Math" w:eastAsia="仿宋" w:cs="仿宋"/>
              <w:sz w:val="28"/>
              <w:szCs w:val="28"/>
              <w:lang w:val="en-US"/>
            </w:rPr>
            <m:t>=</m:t>
          </m:r>
          <m:f>
            <m:fPr>
              <m:ctrlPr>
                <w:rPr>
                  <w:rFonts w:hint="eastAsia" w:ascii="Cambria Math" w:hAnsi="Cambria Math" w:eastAsia="仿宋" w:cs="仿宋"/>
                  <w:i w:val="0"/>
                  <w:iCs w:val="0"/>
                  <w:sz w:val="28"/>
                  <w:szCs w:val="28"/>
                  <w:lang w:val="en-US"/>
                </w:rPr>
              </m:ctrlPr>
            </m:fPr>
            <m:num>
              <m:r>
                <m:rPr>
                  <m:sty m:val="p"/>
                </m:rPr>
                <w:rPr>
                  <w:rFonts w:hint="eastAsia" w:ascii="Cambria Math" w:hAnsi="Cambria Math" w:eastAsia="仿宋" w:cs="仿宋"/>
                  <w:sz w:val="28"/>
                  <w:szCs w:val="28"/>
                  <w:lang w:val="en-US" w:eastAsia="zh-CN"/>
                </w:rPr>
                <m:t>参评成绩</m:t>
              </m:r>
              <m:ctrlPr>
                <w:rPr>
                  <w:rFonts w:hint="eastAsia" w:ascii="Cambria Math" w:hAnsi="Cambria Math" w:eastAsia="仿宋" w:cs="仿宋"/>
                  <w:i w:val="0"/>
                  <w:iCs w:val="0"/>
                  <w:sz w:val="28"/>
                  <w:szCs w:val="28"/>
                  <w:lang w:val="en-US"/>
                </w:rPr>
              </m:ctrlPr>
            </m:num>
            <m:den>
              <m:r>
                <m:rPr>
                  <m:sty m:val="p"/>
                </m:rPr>
                <w:rPr>
                  <w:rFonts w:hint="eastAsia" w:ascii="Cambria Math" w:hAnsi="Cambria Math" w:eastAsia="仿宋" w:cs="仿宋"/>
                  <w:sz w:val="28"/>
                  <w:szCs w:val="28"/>
                  <w:lang w:val="en-US" w:eastAsia="zh-CN"/>
                </w:rPr>
                <m:t>参评成绩最大值</m:t>
              </m:r>
              <m:ctrlPr>
                <w:rPr>
                  <w:rFonts w:hint="eastAsia" w:ascii="Cambria Math" w:hAnsi="Cambria Math" w:eastAsia="仿宋" w:cs="仿宋"/>
                  <w:i w:val="0"/>
                  <w:iCs w:val="0"/>
                  <w:sz w:val="28"/>
                  <w:szCs w:val="28"/>
                  <w:lang w:val="en-US"/>
                </w:rPr>
              </m:ctrlPr>
            </m:den>
          </m:f>
          <m:r>
            <m:rPr>
              <m:sty m:val="p"/>
            </m:rPr>
            <w:rPr>
              <w:rFonts w:hint="eastAsia" w:ascii="Cambria Math" w:hAnsi="Cambria Math" w:eastAsia="仿宋" w:cs="仿宋"/>
              <w:sz w:val="28"/>
              <w:szCs w:val="28"/>
              <w:lang w:val="en-US" w:eastAsia="zh-CN"/>
            </w:rPr>
            <m:t>∗</m:t>
          </m:r>
          <m:r>
            <m:rPr>
              <m:sty m:val="p"/>
            </m:rPr>
            <w:rPr>
              <w:rFonts w:hint="default" w:ascii="Cambria Math" w:hAnsi="Cambria Math" w:eastAsia="仿宋" w:cs="仿宋"/>
              <w:sz w:val="28"/>
              <w:szCs w:val="28"/>
              <w:lang w:val="en-US" w:eastAsia="zh-CN"/>
            </w:rPr>
            <m:t>100</m:t>
          </m:r>
        </m:oMath>
      </m:oMathPara>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50" w:leftChars="0"/>
        <w:jc w:val="both"/>
        <w:textAlignment w:val="auto"/>
        <w:rPr>
          <w:rFonts w:hint="eastAsia" w:ascii="黑体" w:hAnsi="黑体" w:eastAsia="黑体" w:cs="仿宋"/>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50" w:leftChars="0"/>
        <w:jc w:val="both"/>
        <w:textAlignment w:val="auto"/>
        <w:rPr>
          <w:rFonts w:hint="eastAsia" w:ascii="黑体" w:hAnsi="黑体" w:eastAsia="黑体" w:cs="仿宋"/>
          <w:b/>
          <w:bCs/>
          <w:sz w:val="32"/>
          <w:szCs w:val="32"/>
        </w:rPr>
      </w:pPr>
      <w:r>
        <w:rPr>
          <w:rFonts w:hint="eastAsia" w:ascii="黑体" w:hAnsi="黑体" w:eastAsia="黑体" w:cs="仿宋"/>
          <w:b/>
          <w:bCs/>
          <w:sz w:val="32"/>
          <w:szCs w:val="32"/>
          <w:lang w:val="en-US" w:eastAsia="zh-CN"/>
        </w:rPr>
        <w:t>第五章 体育</w:t>
      </w:r>
      <w:r>
        <w:rPr>
          <w:rFonts w:hint="eastAsia" w:ascii="黑体" w:hAnsi="黑体" w:eastAsia="黑体" w:cs="仿宋"/>
          <w:b/>
          <w:bCs/>
          <w:sz w:val="32"/>
          <w:szCs w:val="32"/>
        </w:rPr>
        <w:t>测评分数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黑体" w:hAnsi="黑体" w:eastAsia="黑体" w:cs="仿宋"/>
          <w:b/>
          <w:bCs/>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第十二条 体育分包括三个部分，</w:t>
      </w:r>
      <w:r>
        <w:rPr>
          <w:rFonts w:hint="eastAsia" w:ascii="仿宋" w:hAnsi="仿宋" w:eastAsia="仿宋" w:cs="仿宋"/>
          <w:sz w:val="32"/>
          <w:szCs w:val="32"/>
        </w:rPr>
        <w:t>即</w:t>
      </w:r>
      <w:r>
        <w:rPr>
          <w:rFonts w:hint="eastAsia" w:ascii="仿宋" w:hAnsi="仿宋" w:eastAsia="仿宋" w:cs="仿宋"/>
          <w:sz w:val="32"/>
          <w:szCs w:val="32"/>
          <w:lang w:val="en-US" w:eastAsia="zh-CN"/>
        </w:rPr>
        <w:t>体育</w:t>
      </w:r>
      <w:r>
        <w:rPr>
          <w:rFonts w:hint="eastAsia" w:ascii="仿宋" w:hAnsi="仿宋" w:eastAsia="仿宋" w:cs="仿宋"/>
          <w:sz w:val="32"/>
          <w:szCs w:val="32"/>
        </w:rPr>
        <w:t>分</w:t>
      </w:r>
      <w:r>
        <w:rPr>
          <w:rFonts w:hint="eastAsia" w:ascii="仿宋" w:hAnsi="仿宋" w:eastAsia="仿宋" w:cs="仿宋"/>
          <w:sz w:val="32"/>
          <w:szCs w:val="32"/>
          <w:lang w:val="en-US" w:eastAsia="zh-CN"/>
        </w:rPr>
        <w:t>=基础分70分+加分项-减分项。其中，加分项满分为30分，在实际评定过程中，若累计分数不超过30分，按实际分数计算；若累计分数超过30分，按如下公示转化成绩：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sz w:val="32"/>
          <w:szCs w:val="32"/>
        </w:rPr>
      </w:pPr>
      <m:oMathPara>
        <m:oMath>
          <m:r>
            <m:rPr>
              <m:sty m:val="p"/>
            </m:rPr>
            <w:rPr>
              <w:rFonts w:hint="eastAsia" w:ascii="Cambria Math" w:hAnsi="Cambria Math" w:eastAsia="仿宋" w:cs="仿宋"/>
              <w:sz w:val="28"/>
              <w:szCs w:val="28"/>
              <w:lang w:val="en-US" w:eastAsia="zh-CN"/>
            </w:rPr>
            <m:t>加分项</m:t>
          </m:r>
          <m:r>
            <m:rPr>
              <m:sty m:val="p"/>
            </m:rPr>
            <w:rPr>
              <w:rFonts w:hint="eastAsia" w:ascii="Cambria Math" w:hAnsi="Cambria Math" w:eastAsia="仿宋" w:cs="仿宋"/>
              <w:sz w:val="28"/>
              <w:szCs w:val="28"/>
              <w:lang w:val="en-US"/>
            </w:rPr>
            <m:t>=</m:t>
          </m:r>
          <m:f>
            <m:fPr>
              <m:ctrlPr>
                <w:rPr>
                  <w:rFonts w:hint="eastAsia" w:ascii="Cambria Math" w:hAnsi="Cambria Math" w:eastAsia="仿宋" w:cs="仿宋"/>
                  <w:i w:val="0"/>
                  <w:iCs w:val="0"/>
                  <w:sz w:val="28"/>
                  <w:szCs w:val="28"/>
                  <w:lang w:val="en-US"/>
                </w:rPr>
              </m:ctrlPr>
            </m:fPr>
            <m:num>
              <m:r>
                <m:rPr>
                  <m:sty m:val="p"/>
                </m:rPr>
                <w:rPr>
                  <w:rFonts w:hint="eastAsia" w:ascii="Cambria Math" w:hAnsi="Cambria Math" w:eastAsia="仿宋" w:cs="仿宋"/>
                  <w:sz w:val="28"/>
                  <w:szCs w:val="28"/>
                  <w:lang w:val="en-US" w:eastAsia="zh-CN"/>
                </w:rPr>
                <m:t>参评成绩</m:t>
              </m:r>
              <m:ctrlPr>
                <w:rPr>
                  <w:rFonts w:hint="eastAsia" w:ascii="Cambria Math" w:hAnsi="Cambria Math" w:eastAsia="仿宋" w:cs="仿宋"/>
                  <w:i w:val="0"/>
                  <w:iCs w:val="0"/>
                  <w:sz w:val="28"/>
                  <w:szCs w:val="28"/>
                  <w:lang w:val="en-US"/>
                </w:rPr>
              </m:ctrlPr>
            </m:num>
            <m:den>
              <m:r>
                <m:rPr>
                  <m:sty m:val="p"/>
                </m:rPr>
                <w:rPr>
                  <w:rFonts w:hint="eastAsia" w:ascii="Cambria Math" w:hAnsi="Cambria Math" w:eastAsia="仿宋" w:cs="仿宋"/>
                  <w:sz w:val="28"/>
                  <w:szCs w:val="28"/>
                  <w:lang w:val="en-US" w:eastAsia="zh-CN"/>
                </w:rPr>
                <m:t>参评成绩最大值</m:t>
              </m:r>
              <m:ctrlPr>
                <w:rPr>
                  <w:rFonts w:hint="eastAsia" w:ascii="Cambria Math" w:hAnsi="Cambria Math" w:eastAsia="仿宋" w:cs="仿宋"/>
                  <w:i w:val="0"/>
                  <w:iCs w:val="0"/>
                  <w:sz w:val="28"/>
                  <w:szCs w:val="28"/>
                  <w:lang w:val="en-US"/>
                </w:rPr>
              </m:ctrlPr>
            </m:den>
          </m:f>
          <m:r>
            <m:rPr>
              <m:sty m:val="p"/>
            </m:rPr>
            <w:rPr>
              <w:rFonts w:hint="eastAsia" w:ascii="Cambria Math" w:hAnsi="Cambria Math" w:eastAsia="仿宋" w:cs="仿宋"/>
              <w:sz w:val="28"/>
              <w:szCs w:val="28"/>
              <w:lang w:val="en-US" w:eastAsia="zh-CN"/>
            </w:rPr>
            <m:t>∗30分</m:t>
          </m:r>
        </m:oMath>
      </m:oMathPara>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第十三条 体育分主要有如下两部分组成：</w:t>
      </w:r>
    </w:p>
    <w:p>
      <w:pPr>
        <w:numPr>
          <w:ilvl w:val="0"/>
          <w:numId w:val="0"/>
        </w:numPr>
        <w:spacing w:before="156" w:beforeLines="5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1.在国家、省市、学校举办的体育活动中，代表学校参加并获得奖项。计分标准如下：</w:t>
      </w:r>
    </w:p>
    <w:p>
      <w:pPr>
        <w:numPr>
          <w:ilvl w:val="0"/>
          <w:numId w:val="0"/>
        </w:numPr>
        <w:spacing w:before="156" w:beforeLines="50" w:line="560" w:lineRule="exact"/>
        <w:ind w:firstLine="640" w:firstLineChars="200"/>
        <w:rPr>
          <w:rFonts w:hint="eastAsia" w:ascii="仿宋" w:hAnsi="仿宋" w:eastAsia="仿宋" w:cs="仿宋"/>
          <w:sz w:val="32"/>
          <w:szCs w:val="32"/>
          <w:lang w:val="en-US" w:eastAsia="zh-CN"/>
        </w:rPr>
      </w:pPr>
    </w:p>
    <w:tbl>
      <w:tblPr>
        <w:tblStyle w:val="9"/>
        <w:tblW w:w="7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930"/>
        <w:gridCol w:w="202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61" w:type="dxa"/>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获奖级别</w:t>
            </w:r>
          </w:p>
        </w:tc>
        <w:tc>
          <w:tcPr>
            <w:tcW w:w="1930" w:type="dxa"/>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第一名</w:t>
            </w:r>
          </w:p>
        </w:tc>
        <w:tc>
          <w:tcPr>
            <w:tcW w:w="2025" w:type="dxa"/>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第二名</w:t>
            </w:r>
          </w:p>
        </w:tc>
        <w:tc>
          <w:tcPr>
            <w:tcW w:w="1886" w:type="dxa"/>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61"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国家级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25</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61"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省部级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15</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1" w:type="dxa"/>
            <w:vAlign w:val="top"/>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市校级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8</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5</w:t>
            </w:r>
          </w:p>
        </w:tc>
      </w:tr>
    </w:tbl>
    <w:p>
      <w:pPr>
        <w:numPr>
          <w:ilvl w:val="0"/>
          <w:numId w:val="0"/>
        </w:num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同一项目参赛获得不同奖项的，只加一次分。同一项目只按获得的最高级别的奖项加分。团体比赛主要负责人分值按对应获奖项目应得分值计算，其余成员分值减半计算，若无负责人所有成员分值均减半计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2.校级及以上体育类社团、俱乐部主要负责人加5分。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第十四条 有下列情形的酌情扣分</w:t>
      </w:r>
    </w:p>
    <w:p>
      <w:pPr>
        <w:numPr>
          <w:ilvl w:val="0"/>
          <w:numId w:val="0"/>
        </w:numPr>
        <w:spacing w:before="156" w:beforeLines="5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凡无故不参加学校要求参加的体育活动者，每次扣2分，造成严重后果的扣3—5分。</w:t>
      </w:r>
    </w:p>
    <w:p>
      <w:pPr>
        <w:numPr>
          <w:ilvl w:val="0"/>
          <w:numId w:val="0"/>
        </w:numPr>
        <w:spacing w:line="560" w:lineRule="exact"/>
        <w:ind w:left="3150" w:leftChars="0"/>
        <w:jc w:val="both"/>
        <w:rPr>
          <w:rFonts w:hint="eastAsia" w:ascii="黑体" w:hAnsi="黑体" w:eastAsia="黑体" w:cs="仿宋"/>
          <w:b/>
          <w:bCs/>
          <w:sz w:val="32"/>
          <w:szCs w:val="32"/>
        </w:rPr>
      </w:pPr>
      <w:r>
        <w:rPr>
          <w:rFonts w:hint="eastAsia" w:ascii="黑体" w:hAnsi="黑体" w:eastAsia="黑体" w:cs="仿宋"/>
          <w:b/>
          <w:bCs/>
          <w:sz w:val="32"/>
          <w:szCs w:val="32"/>
          <w:lang w:val="en-US" w:eastAsia="zh-CN"/>
        </w:rPr>
        <w:t>第六章 美育</w:t>
      </w:r>
      <w:r>
        <w:rPr>
          <w:rFonts w:hint="eastAsia" w:ascii="黑体" w:hAnsi="黑体" w:eastAsia="黑体" w:cs="仿宋"/>
          <w:b/>
          <w:bCs/>
          <w:sz w:val="32"/>
          <w:szCs w:val="32"/>
        </w:rPr>
        <w:t>测评分数</w:t>
      </w:r>
    </w:p>
    <w:p>
      <w:pPr>
        <w:widowControl w:val="0"/>
        <w:numPr>
          <w:ilvl w:val="0"/>
          <w:numId w:val="0"/>
        </w:numPr>
        <w:spacing w:line="560" w:lineRule="exact"/>
        <w:jc w:val="both"/>
        <w:rPr>
          <w:rFonts w:hint="eastAsia" w:ascii="仿宋" w:hAnsi="仿宋" w:eastAsia="仿宋" w:cs="仿宋"/>
          <w:sz w:val="32"/>
          <w:szCs w:val="32"/>
        </w:rPr>
      </w:pPr>
      <w:r>
        <w:rPr>
          <w:rFonts w:hint="eastAsia" w:ascii="黑体" w:hAnsi="黑体" w:eastAsia="黑体" w:cs="仿宋"/>
          <w:b/>
          <w:bCs/>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第十五条 美育分包括三个部分，</w:t>
      </w:r>
      <w:r>
        <w:rPr>
          <w:rFonts w:hint="eastAsia" w:ascii="仿宋" w:hAnsi="仿宋" w:eastAsia="仿宋" w:cs="仿宋"/>
          <w:sz w:val="32"/>
          <w:szCs w:val="32"/>
        </w:rPr>
        <w:t>即</w:t>
      </w:r>
      <w:r>
        <w:rPr>
          <w:rFonts w:hint="eastAsia" w:ascii="仿宋" w:hAnsi="仿宋" w:eastAsia="仿宋" w:cs="仿宋"/>
          <w:sz w:val="32"/>
          <w:szCs w:val="32"/>
          <w:lang w:val="en-US" w:eastAsia="zh-CN"/>
        </w:rPr>
        <w:t>美育</w:t>
      </w:r>
      <w:r>
        <w:rPr>
          <w:rFonts w:hint="eastAsia" w:ascii="仿宋" w:hAnsi="仿宋" w:eastAsia="仿宋" w:cs="仿宋"/>
          <w:sz w:val="32"/>
          <w:szCs w:val="32"/>
        </w:rPr>
        <w:t>分</w:t>
      </w:r>
      <w:r>
        <w:rPr>
          <w:rFonts w:hint="eastAsia" w:ascii="仿宋" w:hAnsi="仿宋" w:eastAsia="仿宋" w:cs="仿宋"/>
          <w:sz w:val="32"/>
          <w:szCs w:val="32"/>
          <w:lang w:val="en-US" w:eastAsia="zh-CN"/>
        </w:rPr>
        <w:t>=基础分70分+加分项-减分项。其中，加分项满分为30分，在实际评定过程中，若累计分数不超过30分，按实际分数计算；若累计分数超过30分，按如下公示转化成绩：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sz w:val="32"/>
          <w:szCs w:val="32"/>
        </w:rPr>
      </w:pPr>
      <m:oMathPara>
        <m:oMath>
          <m:r>
            <m:rPr>
              <m:sty m:val="p"/>
            </m:rPr>
            <w:rPr>
              <w:rFonts w:hint="eastAsia" w:ascii="Cambria Math" w:hAnsi="Cambria Math" w:eastAsia="仿宋" w:cs="仿宋"/>
              <w:sz w:val="28"/>
              <w:szCs w:val="28"/>
              <w:lang w:val="en-US" w:eastAsia="zh-CN"/>
            </w:rPr>
            <m:t>加分项</m:t>
          </m:r>
          <m:r>
            <m:rPr>
              <m:sty m:val="p"/>
            </m:rPr>
            <w:rPr>
              <w:rFonts w:hint="eastAsia" w:ascii="Cambria Math" w:hAnsi="Cambria Math" w:eastAsia="仿宋" w:cs="仿宋"/>
              <w:sz w:val="28"/>
              <w:szCs w:val="28"/>
              <w:lang w:val="en-US"/>
            </w:rPr>
            <m:t>=</m:t>
          </m:r>
          <m:f>
            <m:fPr>
              <m:ctrlPr>
                <w:rPr>
                  <w:rFonts w:hint="eastAsia" w:ascii="Cambria Math" w:hAnsi="Cambria Math" w:eastAsia="仿宋" w:cs="仿宋"/>
                  <w:i w:val="0"/>
                  <w:iCs w:val="0"/>
                  <w:sz w:val="28"/>
                  <w:szCs w:val="28"/>
                  <w:lang w:val="en-US"/>
                </w:rPr>
              </m:ctrlPr>
            </m:fPr>
            <m:num>
              <m:r>
                <m:rPr>
                  <m:sty m:val="p"/>
                </m:rPr>
                <w:rPr>
                  <w:rFonts w:hint="eastAsia" w:ascii="Cambria Math" w:hAnsi="Cambria Math" w:eastAsia="仿宋" w:cs="仿宋"/>
                  <w:sz w:val="28"/>
                  <w:szCs w:val="28"/>
                  <w:lang w:val="en-US" w:eastAsia="zh-CN"/>
                </w:rPr>
                <m:t>参评成绩</m:t>
              </m:r>
              <m:ctrlPr>
                <w:rPr>
                  <w:rFonts w:hint="eastAsia" w:ascii="Cambria Math" w:hAnsi="Cambria Math" w:eastAsia="仿宋" w:cs="仿宋"/>
                  <w:i w:val="0"/>
                  <w:iCs w:val="0"/>
                  <w:sz w:val="28"/>
                  <w:szCs w:val="28"/>
                  <w:lang w:val="en-US"/>
                </w:rPr>
              </m:ctrlPr>
            </m:num>
            <m:den>
              <m:r>
                <m:rPr>
                  <m:sty m:val="p"/>
                </m:rPr>
                <w:rPr>
                  <w:rFonts w:hint="eastAsia" w:ascii="Cambria Math" w:hAnsi="Cambria Math" w:eastAsia="仿宋" w:cs="仿宋"/>
                  <w:sz w:val="28"/>
                  <w:szCs w:val="28"/>
                  <w:lang w:val="en-US" w:eastAsia="zh-CN"/>
                </w:rPr>
                <m:t>参评成绩最大值</m:t>
              </m:r>
              <m:ctrlPr>
                <w:rPr>
                  <w:rFonts w:hint="eastAsia" w:ascii="Cambria Math" w:hAnsi="Cambria Math" w:eastAsia="仿宋" w:cs="仿宋"/>
                  <w:i w:val="0"/>
                  <w:iCs w:val="0"/>
                  <w:sz w:val="28"/>
                  <w:szCs w:val="28"/>
                  <w:lang w:val="en-US"/>
                </w:rPr>
              </m:ctrlPr>
            </m:den>
          </m:f>
          <m:r>
            <m:rPr>
              <m:sty m:val="p"/>
            </m:rPr>
            <w:rPr>
              <w:rFonts w:hint="eastAsia" w:ascii="Cambria Math" w:hAnsi="Cambria Math" w:eastAsia="仿宋" w:cs="仿宋"/>
              <w:sz w:val="28"/>
              <w:szCs w:val="28"/>
              <w:lang w:val="en-US" w:eastAsia="zh-CN"/>
            </w:rPr>
            <m:t>∗30分</m:t>
          </m:r>
        </m:oMath>
      </m:oMathPara>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第十六条 美育分主要主要有如下两部分组成：</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1.在国家、省市、学校举行的文艺活动中，代表学校参加并获得奖项。计分标准如下：</w:t>
      </w:r>
    </w:p>
    <w:p>
      <w:pPr>
        <w:numPr>
          <w:ilvl w:val="0"/>
          <w:numId w:val="0"/>
        </w:numPr>
        <w:ind w:firstLine="640" w:firstLineChars="200"/>
        <w:rPr>
          <w:rFonts w:hint="eastAsia" w:ascii="仿宋" w:hAnsi="仿宋" w:eastAsia="仿宋" w:cs="仿宋"/>
          <w:sz w:val="32"/>
          <w:szCs w:val="32"/>
          <w:lang w:val="en-US" w:eastAsia="zh-CN"/>
        </w:rPr>
      </w:pPr>
    </w:p>
    <w:tbl>
      <w:tblPr>
        <w:tblStyle w:val="9"/>
        <w:tblW w:w="7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930"/>
        <w:gridCol w:w="202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61"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获奖级别</w:t>
            </w:r>
          </w:p>
        </w:tc>
        <w:tc>
          <w:tcPr>
            <w:tcW w:w="1930"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第一名</w:t>
            </w:r>
          </w:p>
        </w:tc>
        <w:tc>
          <w:tcPr>
            <w:tcW w:w="2025"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第二名</w:t>
            </w:r>
          </w:p>
        </w:tc>
        <w:tc>
          <w:tcPr>
            <w:tcW w:w="1886" w:type="dxa"/>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第三名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1"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国家级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30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25</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1"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省部级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20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15</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1" w:type="dxa"/>
            <w:vAlign w:val="top"/>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市校级</w:t>
            </w:r>
          </w:p>
        </w:tc>
        <w:tc>
          <w:tcPr>
            <w:tcW w:w="1930"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10</w:t>
            </w:r>
          </w:p>
        </w:tc>
        <w:tc>
          <w:tcPr>
            <w:tcW w:w="2025"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8</w:t>
            </w:r>
          </w:p>
        </w:tc>
        <w:tc>
          <w:tcPr>
            <w:tcW w:w="1886" w:type="dxa"/>
            <w:vAlign w:val="top"/>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8"/>
                <w:szCs w:val="28"/>
                <w:u w:val="none"/>
                <w:lang w:val="en-US" w:eastAsia="zh-CN" w:bidi="ar"/>
              </w:rPr>
            </w:pPr>
            <w:r>
              <w:rPr>
                <w:rFonts w:hint="eastAsia" w:ascii="仿宋" w:hAnsi="仿宋" w:eastAsia="仿宋" w:cs="仿宋"/>
                <w:b w:val="0"/>
                <w:bCs w:val="0"/>
                <w:i w:val="0"/>
                <w:iCs w:val="0"/>
                <w:color w:val="000000"/>
                <w:kern w:val="0"/>
                <w:sz w:val="28"/>
                <w:szCs w:val="28"/>
                <w:u w:val="none"/>
                <w:lang w:val="en-US" w:eastAsia="zh-CN" w:bidi="ar"/>
              </w:rPr>
              <w:t>5</w:t>
            </w:r>
          </w:p>
        </w:tc>
      </w:tr>
    </w:tbl>
    <w:p>
      <w:pPr>
        <w:numPr>
          <w:ilvl w:val="0"/>
          <w:numId w:val="0"/>
        </w:numPr>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同一项目参赛获得不同奖项的，只加一次分。同一项目只按获得的最高级别的奖项加分。团体比赛主要负责人分值按对应获奖项目应得分值计算，其余成员分值减半计算，若无负责人所有成员分值均减半计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2.校级及以上文艺类社团、俱乐部主要负责人加5分。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第十七条 有下列情形的酌情扣分</w:t>
      </w:r>
    </w:p>
    <w:p>
      <w:pPr>
        <w:numPr>
          <w:ilvl w:val="0"/>
          <w:numId w:val="0"/>
        </w:numPr>
        <w:spacing w:before="156" w:beforeLines="5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1.凡无故不参加学校要求参加的美育活动者，每次扣2分，造成严重后果的扣3—5分。</w:t>
      </w:r>
    </w:p>
    <w:p>
      <w:pPr>
        <w:numPr>
          <w:ilvl w:val="0"/>
          <w:numId w:val="0"/>
        </w:numPr>
        <w:spacing w:before="156" w:beforeLines="50" w:line="56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lang w:val="en-US" w:eastAsia="zh-CN"/>
        </w:rPr>
        <w:t>2.有“恶搞”等低级趣味行为影响学校声誉和大学生形象的，发现一次扣5分，造成严重后果或不良影响的扣6—10分。</w:t>
      </w:r>
    </w:p>
    <w:p>
      <w:pPr>
        <w:spacing w:line="560" w:lineRule="exact"/>
        <w:jc w:val="center"/>
        <w:rPr>
          <w:rFonts w:hint="eastAsia" w:ascii="仿宋_GB2312" w:hAnsi="仿宋" w:eastAsia="仿宋_GB2312" w:cs="仿宋"/>
          <w:b w:val="0"/>
          <w:bCs w:val="0"/>
          <w:kern w:val="2"/>
          <w:sz w:val="32"/>
          <w:szCs w:val="32"/>
          <w:lang w:val="en-US" w:eastAsia="zh-CN" w:bidi="ar-SA"/>
        </w:rPr>
      </w:pPr>
      <w:r>
        <w:rPr>
          <w:rFonts w:hint="eastAsia" w:ascii="黑体" w:hAnsi="黑体" w:eastAsia="黑体" w:cs="仿宋"/>
          <w:b/>
          <w:bCs/>
          <w:sz w:val="32"/>
          <w:szCs w:val="32"/>
        </w:rPr>
        <w:t>第</w:t>
      </w:r>
      <w:r>
        <w:rPr>
          <w:rFonts w:hint="eastAsia" w:ascii="黑体" w:hAnsi="黑体" w:eastAsia="黑体" w:cs="仿宋"/>
          <w:b/>
          <w:bCs/>
          <w:sz w:val="32"/>
          <w:szCs w:val="32"/>
          <w:lang w:val="en-US" w:eastAsia="zh-CN"/>
        </w:rPr>
        <w:t>七</w:t>
      </w:r>
      <w:r>
        <w:rPr>
          <w:rFonts w:hint="eastAsia" w:ascii="黑体" w:hAnsi="黑体" w:eastAsia="黑体" w:cs="仿宋"/>
          <w:b/>
          <w:bCs/>
          <w:sz w:val="32"/>
          <w:szCs w:val="32"/>
        </w:rPr>
        <w:t xml:space="preserve">章 </w:t>
      </w:r>
      <w:r>
        <w:rPr>
          <w:rFonts w:hint="eastAsia" w:ascii="黑体" w:hAnsi="黑体" w:eastAsia="黑体" w:cs="仿宋"/>
          <w:b/>
          <w:bCs/>
          <w:sz w:val="32"/>
          <w:szCs w:val="32"/>
          <w:lang w:val="en-US" w:eastAsia="zh-CN"/>
        </w:rPr>
        <w:t>劳动教育</w:t>
      </w:r>
      <w:r>
        <w:rPr>
          <w:rFonts w:hint="eastAsia" w:ascii="黑体" w:hAnsi="黑体" w:eastAsia="黑体" w:cs="仿宋"/>
          <w:b/>
          <w:bCs/>
          <w:sz w:val="32"/>
          <w:szCs w:val="32"/>
        </w:rPr>
        <w:t>测评分数</w:t>
      </w:r>
    </w:p>
    <w:p>
      <w:pPr>
        <w:widowControl w:val="0"/>
        <w:numPr>
          <w:ilvl w:val="0"/>
          <w:numId w:val="0"/>
        </w:numPr>
        <w:spacing w:line="560" w:lineRule="exact"/>
        <w:jc w:val="both"/>
        <w:rPr>
          <w:rFonts w:hint="eastAsia" w:ascii="仿宋" w:hAnsi="仿宋" w:eastAsia="仿宋" w:cs="仿宋"/>
          <w:sz w:val="32"/>
          <w:szCs w:val="32"/>
        </w:rPr>
      </w:pPr>
      <w:r>
        <w:rPr>
          <w:rFonts w:hint="eastAsia" w:ascii="黑体" w:hAnsi="黑体" w:eastAsia="黑体" w:cs="仿宋"/>
          <w:b/>
          <w:bCs/>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第十八条 劳动教育分包括三个部分，</w:t>
      </w:r>
      <w:r>
        <w:rPr>
          <w:rFonts w:hint="eastAsia" w:ascii="仿宋" w:hAnsi="仿宋" w:eastAsia="仿宋" w:cs="仿宋"/>
          <w:sz w:val="32"/>
          <w:szCs w:val="32"/>
        </w:rPr>
        <w:t>即</w:t>
      </w:r>
      <w:r>
        <w:rPr>
          <w:rFonts w:hint="eastAsia" w:ascii="仿宋" w:hAnsi="仿宋" w:eastAsia="仿宋" w:cs="仿宋"/>
          <w:sz w:val="32"/>
          <w:szCs w:val="32"/>
          <w:lang w:val="en-US" w:eastAsia="zh-CN"/>
        </w:rPr>
        <w:t>劳动教育</w:t>
      </w:r>
      <w:r>
        <w:rPr>
          <w:rFonts w:hint="eastAsia" w:ascii="仿宋" w:hAnsi="仿宋" w:eastAsia="仿宋" w:cs="仿宋"/>
          <w:sz w:val="32"/>
          <w:szCs w:val="32"/>
        </w:rPr>
        <w:t>分</w:t>
      </w:r>
      <w:r>
        <w:rPr>
          <w:rFonts w:hint="eastAsia" w:ascii="仿宋" w:hAnsi="仿宋" w:eastAsia="仿宋" w:cs="仿宋"/>
          <w:sz w:val="32"/>
          <w:szCs w:val="32"/>
          <w:lang w:val="en-US" w:eastAsia="zh-CN"/>
        </w:rPr>
        <w:t>=基础分70分+加分项-减分项。其中，加分项满分为30分，在实际评定过程中，若累计分数不超过30分，按实际分数计算；若累计分数超过30分，按如下公示转化成绩：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 w:eastAsia="仿宋_GB2312" w:cs="仿宋"/>
          <w:sz w:val="32"/>
          <w:szCs w:val="32"/>
        </w:rPr>
      </w:pPr>
      <m:oMathPara>
        <m:oMath>
          <m:r>
            <m:rPr>
              <m:sty m:val="p"/>
            </m:rPr>
            <w:rPr>
              <w:rFonts w:hint="eastAsia" w:ascii="Cambria Math" w:hAnsi="Cambria Math" w:eastAsia="仿宋" w:cs="仿宋"/>
              <w:sz w:val="28"/>
              <w:szCs w:val="28"/>
              <w:lang w:val="en-US" w:eastAsia="zh-CN"/>
            </w:rPr>
            <m:t>加分项</m:t>
          </m:r>
          <m:r>
            <m:rPr>
              <m:sty m:val="p"/>
            </m:rPr>
            <w:rPr>
              <w:rFonts w:hint="eastAsia" w:ascii="Cambria Math" w:hAnsi="Cambria Math" w:eastAsia="仿宋" w:cs="仿宋"/>
              <w:sz w:val="28"/>
              <w:szCs w:val="28"/>
              <w:lang w:val="en-US"/>
            </w:rPr>
            <m:t>=</m:t>
          </m:r>
          <m:f>
            <m:fPr>
              <m:ctrlPr>
                <w:rPr>
                  <w:rFonts w:hint="eastAsia" w:ascii="Cambria Math" w:hAnsi="Cambria Math" w:eastAsia="仿宋" w:cs="仿宋"/>
                  <w:i w:val="0"/>
                  <w:iCs w:val="0"/>
                  <w:sz w:val="28"/>
                  <w:szCs w:val="28"/>
                  <w:lang w:val="en-US"/>
                </w:rPr>
              </m:ctrlPr>
            </m:fPr>
            <m:num>
              <m:r>
                <m:rPr>
                  <m:sty m:val="p"/>
                </m:rPr>
                <w:rPr>
                  <w:rFonts w:hint="eastAsia" w:ascii="Cambria Math" w:hAnsi="Cambria Math" w:eastAsia="仿宋" w:cs="仿宋"/>
                  <w:sz w:val="28"/>
                  <w:szCs w:val="28"/>
                  <w:lang w:val="en-US" w:eastAsia="zh-CN"/>
                </w:rPr>
                <m:t>参评成绩</m:t>
              </m:r>
              <m:ctrlPr>
                <w:rPr>
                  <w:rFonts w:hint="eastAsia" w:ascii="Cambria Math" w:hAnsi="Cambria Math" w:eastAsia="仿宋" w:cs="仿宋"/>
                  <w:i w:val="0"/>
                  <w:iCs w:val="0"/>
                  <w:sz w:val="28"/>
                  <w:szCs w:val="28"/>
                  <w:lang w:val="en-US"/>
                </w:rPr>
              </m:ctrlPr>
            </m:num>
            <m:den>
              <m:r>
                <m:rPr>
                  <m:sty m:val="p"/>
                </m:rPr>
                <w:rPr>
                  <w:rFonts w:hint="eastAsia" w:ascii="Cambria Math" w:hAnsi="Cambria Math" w:eastAsia="仿宋" w:cs="仿宋"/>
                  <w:sz w:val="28"/>
                  <w:szCs w:val="28"/>
                  <w:lang w:val="en-US" w:eastAsia="zh-CN"/>
                </w:rPr>
                <m:t>参评成绩最大值</m:t>
              </m:r>
              <m:ctrlPr>
                <w:rPr>
                  <w:rFonts w:hint="eastAsia" w:ascii="Cambria Math" w:hAnsi="Cambria Math" w:eastAsia="仿宋" w:cs="仿宋"/>
                  <w:i w:val="0"/>
                  <w:iCs w:val="0"/>
                  <w:sz w:val="28"/>
                  <w:szCs w:val="28"/>
                  <w:lang w:val="en-US"/>
                </w:rPr>
              </m:ctrlPr>
            </m:den>
          </m:f>
          <m:r>
            <m:rPr>
              <m:sty m:val="p"/>
            </m:rPr>
            <w:rPr>
              <w:rFonts w:hint="eastAsia" w:ascii="Cambria Math" w:hAnsi="Cambria Math" w:eastAsia="仿宋" w:cs="仿宋"/>
              <w:sz w:val="28"/>
              <w:szCs w:val="28"/>
              <w:lang w:val="en-US" w:eastAsia="zh-CN"/>
            </w:rPr>
            <m:t>∗30分</m:t>
          </m:r>
        </m:oMath>
      </m:oMathPara>
    </w:p>
    <w:p>
      <w:pPr>
        <w:keepNext w:val="0"/>
        <w:keepLines w:val="0"/>
        <w:pageBreakBefore w:val="0"/>
        <w:widowControl w:val="0"/>
        <w:numPr>
          <w:ilvl w:val="0"/>
          <w:numId w:val="3"/>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劳动教育分主要有如下三部分组成：</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1.积极投身于学校安全文明寝室创建活动，以在安全文明寝室创建活动以及相关义务劳动活动中取得的成绩或奖励为依据。其中，校级文明寝室成员，每人加5分；院级文明寝室成员，每人加2分。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2.在各类大型活动中担任志愿者，获得认证的志愿者证书的加5分。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3.参加“博士村长”、“博士工程师”等社会实践并被省级及以上媒体报道的，负责人加5分，成员加3分。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第二十条 有下列情形的酌情扣分</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在学校或培养单位组织的寝室检查中，不配合或抵触的一次扣2分，造成不良影响的一次扣5分。检查中，不合格寝室的成员均扣1分，受通报批评的寝室，其成员一次扣2分</w:t>
      </w:r>
      <w:r>
        <w:rPr>
          <w:rFonts w:hint="eastAsia" w:ascii="仿宋" w:hAnsi="仿宋" w:eastAsia="仿宋" w:cs="仿宋"/>
          <w:sz w:val="32"/>
          <w:szCs w:val="32"/>
          <w:lang w:val="en-US" w:eastAsia="zh-CN"/>
        </w:rPr>
        <w:t>。</w:t>
      </w:r>
    </w:p>
    <w:p>
      <w:pPr>
        <w:numPr>
          <w:ilvl w:val="0"/>
          <w:numId w:val="0"/>
        </w:numPr>
        <w:spacing w:before="156" w:beforeLines="5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2.无故不参加学校、培养单位安排的劳动教育活动，每次扣2分，造成严重后果或不良影响的扣3—5分。</w:t>
      </w:r>
    </w:p>
    <w:p>
      <w:pPr>
        <w:pStyle w:val="3"/>
        <w:spacing w:line="560" w:lineRule="exact"/>
        <w:jc w:val="center"/>
        <w:rPr>
          <w:rFonts w:hint="eastAsia" w:ascii="黑体" w:hAnsi="黑体" w:eastAsia="黑体" w:cs="仿宋"/>
          <w:b/>
          <w:bCs/>
          <w:kern w:val="2"/>
          <w:sz w:val="32"/>
          <w:szCs w:val="32"/>
          <w:lang w:val="en-US" w:eastAsia="zh-CN" w:bidi="ar-SA"/>
        </w:rPr>
      </w:pPr>
      <w:r>
        <w:rPr>
          <w:rFonts w:hint="eastAsia" w:ascii="黑体" w:hAnsi="黑体" w:eastAsia="黑体" w:cs="仿宋"/>
          <w:b/>
          <w:bCs/>
          <w:kern w:val="2"/>
          <w:sz w:val="32"/>
          <w:szCs w:val="32"/>
          <w:lang w:val="en-US" w:eastAsia="zh-CN" w:bidi="ar-SA"/>
        </w:rPr>
        <w:t>第八章 附则</w:t>
      </w:r>
    </w:p>
    <w:p>
      <w:pPr>
        <w:numPr>
          <w:ilvl w:val="0"/>
          <w:numId w:val="0"/>
        </w:numPr>
        <w:spacing w:before="156" w:beforeLines="50"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本细则由党委研究生工作部（研究生管理工作处）、研究生院负责解释。</w:t>
      </w:r>
    </w:p>
    <w:p>
      <w:pPr>
        <w:numPr>
          <w:ilvl w:val="0"/>
          <w:numId w:val="0"/>
        </w:numPr>
        <w:spacing w:before="156" w:beforeLines="50"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第二十二条 本细则自发布之日起执行，原《贵州大学博士研究生国家奖学金综合测评实施细则（试行）》同时废止。</w:t>
      </w:r>
    </w:p>
    <w:sectPr>
      <w:footerReference r:id="rId3" w:type="default"/>
      <w:pgSz w:w="11906" w:h="16838"/>
      <w:pgMar w:top="121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A383F"/>
    <w:multiLevelType w:val="singleLevel"/>
    <w:tmpl w:val="2BCA383F"/>
    <w:lvl w:ilvl="0" w:tentative="0">
      <w:start w:val="19"/>
      <w:numFmt w:val="chineseCounting"/>
      <w:suff w:val="space"/>
      <w:lvlText w:val="第%1条"/>
      <w:lvlJc w:val="left"/>
      <w:rPr>
        <w:rFonts w:hint="eastAsia"/>
      </w:rPr>
    </w:lvl>
  </w:abstractNum>
  <w:abstractNum w:abstractNumId="1">
    <w:nsid w:val="2F4FD1D9"/>
    <w:multiLevelType w:val="singleLevel"/>
    <w:tmpl w:val="2F4FD1D9"/>
    <w:lvl w:ilvl="0" w:tentative="0">
      <w:start w:val="11"/>
      <w:numFmt w:val="chineseCounting"/>
      <w:suff w:val="space"/>
      <w:lvlText w:val="第%1条"/>
      <w:lvlJc w:val="left"/>
      <w:rPr>
        <w:rFonts w:hint="eastAsia"/>
      </w:rPr>
    </w:lvl>
  </w:abstractNum>
  <w:abstractNum w:abstractNumId="2">
    <w:nsid w:val="2F579EAD"/>
    <w:multiLevelType w:val="singleLevel"/>
    <w:tmpl w:val="2F579EAD"/>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MmE4MjU2YzI3ZmI0MDg3ZDZiZTU5YTAyYTZiZmUifQ=="/>
    <w:docVar w:name="KSO_WPS_MARK_KEY" w:val="797d1f63-9cc2-45b6-b41b-6fe05237f3f9"/>
  </w:docVars>
  <w:rsids>
    <w:rsidRoot w:val="18A45F0F"/>
    <w:rsid w:val="01557DEC"/>
    <w:rsid w:val="02B7624C"/>
    <w:rsid w:val="02C17674"/>
    <w:rsid w:val="033559A2"/>
    <w:rsid w:val="047F28A2"/>
    <w:rsid w:val="05BD1CBA"/>
    <w:rsid w:val="064A71E7"/>
    <w:rsid w:val="06710335"/>
    <w:rsid w:val="07FA4081"/>
    <w:rsid w:val="082E7ECC"/>
    <w:rsid w:val="08495581"/>
    <w:rsid w:val="090825D6"/>
    <w:rsid w:val="0BBE689D"/>
    <w:rsid w:val="0D647DE5"/>
    <w:rsid w:val="0E5C3D4C"/>
    <w:rsid w:val="0E7478E1"/>
    <w:rsid w:val="0EAD3858"/>
    <w:rsid w:val="0FE37E68"/>
    <w:rsid w:val="105136BF"/>
    <w:rsid w:val="128F6713"/>
    <w:rsid w:val="13D41673"/>
    <w:rsid w:val="1540437F"/>
    <w:rsid w:val="15800C2D"/>
    <w:rsid w:val="16CB0B75"/>
    <w:rsid w:val="17B615AE"/>
    <w:rsid w:val="18A45F0F"/>
    <w:rsid w:val="19066C67"/>
    <w:rsid w:val="197521D4"/>
    <w:rsid w:val="19EA5A6E"/>
    <w:rsid w:val="1BC432EE"/>
    <w:rsid w:val="1DFF3104"/>
    <w:rsid w:val="1F103210"/>
    <w:rsid w:val="1F217493"/>
    <w:rsid w:val="1F967708"/>
    <w:rsid w:val="1FE12739"/>
    <w:rsid w:val="205076B3"/>
    <w:rsid w:val="20760EE8"/>
    <w:rsid w:val="22690E42"/>
    <w:rsid w:val="22F85B59"/>
    <w:rsid w:val="230F2597"/>
    <w:rsid w:val="24312F85"/>
    <w:rsid w:val="24EC7B7F"/>
    <w:rsid w:val="24F57BE6"/>
    <w:rsid w:val="2511013A"/>
    <w:rsid w:val="254E6207"/>
    <w:rsid w:val="27D77DA3"/>
    <w:rsid w:val="281D0610"/>
    <w:rsid w:val="287B4B54"/>
    <w:rsid w:val="2967756F"/>
    <w:rsid w:val="29756119"/>
    <w:rsid w:val="29887535"/>
    <w:rsid w:val="2B1B0D87"/>
    <w:rsid w:val="2C5B1A7D"/>
    <w:rsid w:val="2CAB6B2A"/>
    <w:rsid w:val="30BD1C94"/>
    <w:rsid w:val="31AA501A"/>
    <w:rsid w:val="31CA1248"/>
    <w:rsid w:val="33132265"/>
    <w:rsid w:val="331B2E14"/>
    <w:rsid w:val="36E07C5A"/>
    <w:rsid w:val="370F3317"/>
    <w:rsid w:val="39CA7499"/>
    <w:rsid w:val="3A82714C"/>
    <w:rsid w:val="3CD031A3"/>
    <w:rsid w:val="3DCE6F11"/>
    <w:rsid w:val="3E7E3A7D"/>
    <w:rsid w:val="3F7033D7"/>
    <w:rsid w:val="40181E8F"/>
    <w:rsid w:val="40F90E93"/>
    <w:rsid w:val="40F91FF1"/>
    <w:rsid w:val="421E27DB"/>
    <w:rsid w:val="43080255"/>
    <w:rsid w:val="43D41DC8"/>
    <w:rsid w:val="4590570F"/>
    <w:rsid w:val="4A7E0095"/>
    <w:rsid w:val="4A983469"/>
    <w:rsid w:val="4B9C28EE"/>
    <w:rsid w:val="4BD27B4B"/>
    <w:rsid w:val="4EDE7F34"/>
    <w:rsid w:val="4EFB69FD"/>
    <w:rsid w:val="53051D83"/>
    <w:rsid w:val="5358379E"/>
    <w:rsid w:val="54A21675"/>
    <w:rsid w:val="561D3D1D"/>
    <w:rsid w:val="57655F58"/>
    <w:rsid w:val="58457C7F"/>
    <w:rsid w:val="5C4A5FA1"/>
    <w:rsid w:val="5C976749"/>
    <w:rsid w:val="5CAC15BA"/>
    <w:rsid w:val="5D6E5EB3"/>
    <w:rsid w:val="5D7B04CE"/>
    <w:rsid w:val="5DA10C47"/>
    <w:rsid w:val="5EAD0620"/>
    <w:rsid w:val="5EB933E6"/>
    <w:rsid w:val="5FAD0367"/>
    <w:rsid w:val="5FD06615"/>
    <w:rsid w:val="601F00EB"/>
    <w:rsid w:val="608C0777"/>
    <w:rsid w:val="61F35C92"/>
    <w:rsid w:val="62051CA5"/>
    <w:rsid w:val="638F73B4"/>
    <w:rsid w:val="64F63366"/>
    <w:rsid w:val="66943C20"/>
    <w:rsid w:val="69386A2A"/>
    <w:rsid w:val="699C27E2"/>
    <w:rsid w:val="6A240684"/>
    <w:rsid w:val="6C423AF6"/>
    <w:rsid w:val="6C572CE9"/>
    <w:rsid w:val="6D434402"/>
    <w:rsid w:val="6D9E68E0"/>
    <w:rsid w:val="7115711D"/>
    <w:rsid w:val="721C0279"/>
    <w:rsid w:val="7239166B"/>
    <w:rsid w:val="72424C49"/>
    <w:rsid w:val="7270660A"/>
    <w:rsid w:val="72BD4C54"/>
    <w:rsid w:val="744B2277"/>
    <w:rsid w:val="74CC0A63"/>
    <w:rsid w:val="776437A4"/>
    <w:rsid w:val="789E013A"/>
    <w:rsid w:val="791365FE"/>
    <w:rsid w:val="7B275EC2"/>
    <w:rsid w:val="7D746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keepNext/>
      <w:keepLines/>
      <w:spacing w:line="360" w:lineRule="auto"/>
      <w:outlineLvl w:val="0"/>
    </w:pPr>
    <w:rPr>
      <w:rFonts w:eastAsiaTheme="majorEastAsia"/>
      <w:b/>
      <w:bCs/>
      <w:kern w:val="44"/>
      <w:sz w:val="44"/>
      <w:szCs w:val="44"/>
    </w:rPr>
  </w:style>
  <w:style w:type="paragraph" w:styleId="3">
    <w:name w:val="heading 2"/>
    <w:basedOn w:val="1"/>
    <w:next w:val="1"/>
    <w:semiHidden/>
    <w:unhideWhenUsed/>
    <w:qFormat/>
    <w:uiPriority w:val="0"/>
    <w:pPr>
      <w:keepNext/>
      <w:keepLines/>
      <w:spacing w:line="360" w:lineRule="auto"/>
      <w:ind w:firstLine="0" w:firstLineChars="0"/>
      <w:outlineLvl w:val="1"/>
    </w:pPr>
    <w:rPr>
      <w:rFonts w:ascii="等线 Light" w:hAnsi="等线 Light" w:cs="Times New Roman" w:eastAsiaTheme="majorEastAsia"/>
      <w:b/>
      <w:bCs/>
      <w:sz w:val="32"/>
      <w:szCs w:val="32"/>
    </w:rPr>
  </w:style>
  <w:style w:type="paragraph" w:styleId="4">
    <w:name w:val="heading 3"/>
    <w:basedOn w:val="1"/>
    <w:next w:val="1"/>
    <w:semiHidden/>
    <w:unhideWhenUsed/>
    <w:qFormat/>
    <w:uiPriority w:val="0"/>
    <w:pPr>
      <w:keepNext/>
      <w:keepLines/>
      <w:spacing w:line="360" w:lineRule="auto"/>
      <w:ind w:firstLine="0" w:firstLineChars="0"/>
      <w:outlineLvl w:val="2"/>
    </w:pPr>
    <w:rPr>
      <w:rFonts w:eastAsiaTheme="majorEastAsia"/>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link w:val="2"/>
    <w:qFormat/>
    <w:uiPriority w:val="9"/>
    <w:rPr>
      <w:rFonts w:eastAsiaTheme="majorEastAsia"/>
      <w:b/>
      <w:bCs/>
      <w:kern w:val="44"/>
      <w:sz w:val="44"/>
      <w:szCs w:val="44"/>
    </w:rPr>
  </w:style>
  <w:style w:type="character" w:customStyle="1" w:styleId="12">
    <w:name w:val="font01"/>
    <w:qFormat/>
    <w:uiPriority w:val="0"/>
    <w:rPr>
      <w:rFonts w:hint="eastAsia" w:ascii="仿宋" w:hAnsi="仿宋" w:eastAsia="仿宋" w:cs="仿宋"/>
      <w:color w:val="000000"/>
      <w:sz w:val="24"/>
      <w:szCs w:val="24"/>
      <w:u w:val="none"/>
    </w:rPr>
  </w:style>
  <w:style w:type="character" w:customStyle="1" w:styleId="13">
    <w:name w:val="font21"/>
    <w:basedOn w:val="10"/>
    <w:qFormat/>
    <w:uiPriority w:val="0"/>
    <w:rPr>
      <w:rFonts w:hint="default" w:ascii="Times New Roman" w:hAnsi="Times New Roman" w:cs="Times New Roman"/>
      <w:color w:val="000000"/>
      <w:sz w:val="24"/>
      <w:szCs w:val="24"/>
      <w:u w:val="none"/>
    </w:rPr>
  </w:style>
  <w:style w:type="character" w:customStyle="1" w:styleId="14">
    <w:name w:val="font1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4701</Words>
  <Characters>5073</Characters>
  <Lines>0</Lines>
  <Paragraphs>0</Paragraphs>
  <TotalTime>154</TotalTime>
  <ScaleCrop>false</ScaleCrop>
  <LinksUpToDate>false</LinksUpToDate>
  <CharactersWithSpaces>5216</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2022-06-14T00:56:00Z</dcterms:created>
  <dc:creator>萌</dc:creator>
  <cp:lastModifiedBy>*~*strangers</cp:lastModifiedBy>
  <cp:lastPrinted>2024-12-09T09:06:00Z</cp:lastPrinted>
  <dcterms:modified xsi:type="dcterms:W3CDTF">2025-09-03T03:25:59Z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D748FFEFAF1C476697635B4937154473_13</vt:lpwstr>
  </property>
</Properties>
</file>